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AEE19" w14:textId="77777777" w:rsidR="001A1328" w:rsidRPr="00C20FA9" w:rsidRDefault="001A1328">
      <w:pPr>
        <w:pageBreakBefore/>
        <w:tabs>
          <w:tab w:val="left" w:pos="8137"/>
        </w:tabs>
        <w:spacing w:before="60" w:after="60"/>
        <w:ind w:firstLine="0"/>
        <w:jc w:val="center"/>
        <w:rPr>
          <w:rFonts w:cs="Arial"/>
          <w:b/>
          <w:sz w:val="20"/>
          <w:szCs w:val="24"/>
          <w:lang w:val="en-GB"/>
        </w:rPr>
      </w:pPr>
      <w:bookmarkStart w:id="0" w:name="_Hlk101361392"/>
      <w:bookmarkStart w:id="1" w:name="TS1"/>
      <w:r w:rsidRPr="00C20FA9">
        <w:rPr>
          <w:rFonts w:cs="Arial"/>
          <w:b/>
          <w:sz w:val="20"/>
          <w:szCs w:val="24"/>
          <w:lang w:val="en-GB"/>
        </w:rPr>
        <w:t>TECHNICAL SPECIFICATION</w:t>
      </w:r>
    </w:p>
    <w:p w14:paraId="1EFAEE1A"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360"/>
        </w:tabs>
        <w:spacing w:before="60" w:after="60"/>
        <w:ind w:left="0" w:firstLine="0"/>
        <w:contextualSpacing w:val="0"/>
        <w:rPr>
          <w:rFonts w:cs="Arial"/>
          <w:b/>
          <w:sz w:val="20"/>
          <w:szCs w:val="24"/>
          <w:lang w:val="en-GB"/>
        </w:rPr>
      </w:pPr>
      <w:r w:rsidRPr="00C20FA9">
        <w:rPr>
          <w:rFonts w:cs="Arial"/>
          <w:b/>
          <w:sz w:val="20"/>
          <w:szCs w:val="24"/>
          <w:lang w:val="en-GB"/>
        </w:rPr>
        <w:t>TERMS AND ABBREVIATIONS</w:t>
      </w:r>
    </w:p>
    <w:p w14:paraId="1EFAEE1B"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Customer</w:t>
      </w:r>
      <w:r w:rsidRPr="00C20FA9">
        <w:rPr>
          <w:rFonts w:cs="Arial"/>
          <w:sz w:val="20"/>
          <w:szCs w:val="24"/>
          <w:lang w:val="en-GB"/>
        </w:rPr>
        <w:t xml:space="preserve"> – UAB Kaunas Cogeneration Power Plant</w:t>
      </w:r>
    </w:p>
    <w:p w14:paraId="1EFAEE1C"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Service Provider</w:t>
      </w:r>
      <w:r w:rsidRPr="00C20FA9">
        <w:rPr>
          <w:rFonts w:cs="Arial"/>
          <w:sz w:val="20"/>
          <w:szCs w:val="24"/>
          <w:lang w:val="en-GB"/>
        </w:rPr>
        <w:t xml:space="preserve"> – economic entity – natural person, private legal entity, public legal entity, other organisations and their units or groups of such persons with whom the Customer concludes the Contract.</w:t>
      </w:r>
    </w:p>
    <w:p w14:paraId="1EFAEE1D"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Contract</w:t>
      </w:r>
      <w:r w:rsidRPr="00C20FA9">
        <w:rPr>
          <w:rFonts w:cs="Arial"/>
          <w:sz w:val="20"/>
          <w:szCs w:val="24"/>
          <w:lang w:val="en-GB"/>
        </w:rPr>
        <w:t xml:space="preserve"> – a contract concluded between the Customer and the Service Provider for the Purchase Object.</w:t>
      </w:r>
    </w:p>
    <w:p w14:paraId="1EFAEE1E" w14:textId="77777777" w:rsidR="001A1328" w:rsidRPr="00C20FA9" w:rsidRDefault="001A1328">
      <w:pPr>
        <w:pStyle w:val="ListParagraph"/>
        <w:numPr>
          <w:ilvl w:val="1"/>
          <w:numId w:val="1"/>
        </w:numPr>
        <w:tabs>
          <w:tab w:val="left" w:pos="567"/>
        </w:tabs>
        <w:spacing w:before="60" w:after="60"/>
        <w:ind w:hanging="1353"/>
        <w:contextualSpacing w:val="0"/>
        <w:jc w:val="both"/>
        <w:rPr>
          <w:rFonts w:cs="Arial"/>
          <w:sz w:val="20"/>
          <w:szCs w:val="24"/>
          <w:lang w:val="en-GB"/>
        </w:rPr>
      </w:pPr>
      <w:r w:rsidRPr="00C20FA9">
        <w:rPr>
          <w:rFonts w:cs="Arial"/>
          <w:b/>
          <w:sz w:val="20"/>
          <w:szCs w:val="24"/>
          <w:lang w:val="en-GB"/>
        </w:rPr>
        <w:t>Services</w:t>
      </w:r>
      <w:r w:rsidRPr="00C20FA9">
        <w:rPr>
          <w:rFonts w:cs="Arial"/>
          <w:sz w:val="20"/>
          <w:szCs w:val="24"/>
          <w:lang w:val="en-GB"/>
        </w:rPr>
        <w:t xml:space="preserve"> – Turbine and generator maintenance and repair services.</w:t>
      </w:r>
    </w:p>
    <w:p w14:paraId="1EFAEE1F" w14:textId="77777777" w:rsidR="001A1328" w:rsidRPr="00C20FA9" w:rsidRDefault="001A1328">
      <w:pPr>
        <w:pStyle w:val="ListParagraph"/>
        <w:numPr>
          <w:ilvl w:val="1"/>
          <w:numId w:val="1"/>
        </w:numPr>
        <w:tabs>
          <w:tab w:val="left" w:pos="360"/>
          <w:tab w:val="left" w:pos="426"/>
        </w:tabs>
        <w:spacing w:before="60" w:after="60"/>
        <w:ind w:left="0" w:firstLine="0"/>
        <w:contextualSpacing w:val="0"/>
        <w:jc w:val="both"/>
        <w:rPr>
          <w:rFonts w:cs="Arial"/>
          <w:sz w:val="20"/>
          <w:szCs w:val="24"/>
          <w:lang w:val="en-GB"/>
        </w:rPr>
      </w:pPr>
      <w:r w:rsidRPr="00C20FA9">
        <w:rPr>
          <w:rFonts w:cs="Arial"/>
          <w:b/>
          <w:sz w:val="20"/>
          <w:szCs w:val="24"/>
          <w:lang w:val="en-GB"/>
        </w:rPr>
        <w:t xml:space="preserve"> Order</w:t>
      </w:r>
      <w:r w:rsidRPr="00C20FA9">
        <w:rPr>
          <w:rFonts w:cs="Arial"/>
          <w:sz w:val="20"/>
          <w:szCs w:val="24"/>
          <w:lang w:val="en-GB"/>
        </w:rPr>
        <w:t xml:space="preserve"> – a written document provided to the Service Provider </w:t>
      </w:r>
      <w:proofErr w:type="gramStart"/>
      <w:r w:rsidRPr="00C20FA9">
        <w:rPr>
          <w:rFonts w:cs="Arial"/>
          <w:sz w:val="20"/>
          <w:szCs w:val="24"/>
          <w:lang w:val="en-GB"/>
        </w:rPr>
        <w:t>on the basis of</w:t>
      </w:r>
      <w:proofErr w:type="gramEnd"/>
      <w:r w:rsidRPr="00C20FA9">
        <w:rPr>
          <w:rFonts w:cs="Arial"/>
          <w:sz w:val="20"/>
          <w:szCs w:val="24"/>
          <w:lang w:val="en-GB"/>
        </w:rPr>
        <w:t xml:space="preserve"> the Contract, delivered via text message, email, and/or through the Customer’s designated information system, specifying the quantities of Services, delivery addresses, and due dates.</w:t>
      </w:r>
    </w:p>
    <w:p w14:paraId="1EFAEE20" w14:textId="77777777" w:rsidR="001A1328" w:rsidRPr="00C20FA9" w:rsidRDefault="001A1328">
      <w:pPr>
        <w:pStyle w:val="ListParagraph"/>
        <w:numPr>
          <w:ilvl w:val="1"/>
          <w:numId w:val="1"/>
        </w:numPr>
        <w:tabs>
          <w:tab w:val="left" w:pos="567"/>
        </w:tabs>
        <w:spacing w:before="60" w:after="60"/>
        <w:ind w:left="0" w:firstLine="0"/>
        <w:jc w:val="both"/>
        <w:rPr>
          <w:rFonts w:cs="Arial"/>
          <w:sz w:val="20"/>
          <w:szCs w:val="24"/>
          <w:lang w:val="en-GB"/>
        </w:rPr>
      </w:pPr>
      <w:r w:rsidRPr="00C20FA9">
        <w:rPr>
          <w:rFonts w:cs="Arial"/>
          <w:b/>
          <w:sz w:val="20"/>
          <w:szCs w:val="24"/>
          <w:lang w:val="en-GB"/>
        </w:rPr>
        <w:t>Related services</w:t>
      </w:r>
      <w:r w:rsidRPr="00C20FA9">
        <w:rPr>
          <w:rFonts w:cs="Arial"/>
          <w:sz w:val="20"/>
          <w:szCs w:val="24"/>
          <w:lang w:val="en-GB"/>
        </w:rPr>
        <w:t xml:space="preserve"> – Services not specified in the Technical Specification but connected with the procured Object of procurement. </w:t>
      </w:r>
    </w:p>
    <w:p w14:paraId="1EFAEE21" w14:textId="77777777" w:rsidR="001A1328" w:rsidRPr="00C20FA9" w:rsidRDefault="001A1328">
      <w:pPr>
        <w:pStyle w:val="ListParagraph"/>
        <w:numPr>
          <w:ilvl w:val="1"/>
          <w:numId w:val="1"/>
        </w:numPr>
        <w:tabs>
          <w:tab w:val="left" w:pos="567"/>
        </w:tabs>
        <w:spacing w:before="60" w:after="60"/>
        <w:ind w:left="0" w:firstLine="0"/>
        <w:jc w:val="both"/>
        <w:rPr>
          <w:rFonts w:cs="Arial"/>
          <w:sz w:val="20"/>
          <w:szCs w:val="24"/>
          <w:lang w:val="en-GB"/>
        </w:rPr>
      </w:pPr>
      <w:r w:rsidRPr="00C20FA9">
        <w:rPr>
          <w:rFonts w:cs="Arial"/>
          <w:b/>
          <w:sz w:val="20"/>
          <w:szCs w:val="24"/>
          <w:lang w:val="en-GB"/>
        </w:rPr>
        <w:t>Goods</w:t>
      </w:r>
      <w:r w:rsidRPr="00C20FA9">
        <w:rPr>
          <w:rFonts w:cs="Arial"/>
          <w:sz w:val="20"/>
          <w:szCs w:val="24"/>
          <w:lang w:val="en-GB"/>
        </w:rPr>
        <w:t xml:space="preserve"> – Essential consumables and spare parts required for the provision of the Services.</w:t>
      </w:r>
    </w:p>
    <w:p w14:paraId="1EFAEE22" w14:textId="77777777" w:rsidR="001A1328" w:rsidRPr="00C20FA9" w:rsidRDefault="001A1328">
      <w:pPr>
        <w:pStyle w:val="ListParagraph"/>
        <w:tabs>
          <w:tab w:val="left" w:pos="567"/>
        </w:tabs>
        <w:spacing w:before="60" w:after="60"/>
        <w:ind w:left="0" w:firstLine="0"/>
        <w:contextualSpacing w:val="0"/>
        <w:jc w:val="both"/>
        <w:rPr>
          <w:rFonts w:cs="Arial"/>
          <w:sz w:val="20"/>
          <w:szCs w:val="24"/>
          <w:lang w:val="en-GB"/>
        </w:rPr>
      </w:pPr>
    </w:p>
    <w:p w14:paraId="1EFAEE23"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OBJECT OF PROCUREMENT</w:t>
      </w:r>
    </w:p>
    <w:p w14:paraId="1EFAEE24" w14:textId="77777777" w:rsidR="001A1328" w:rsidRPr="00C20FA9" w:rsidRDefault="001A1328">
      <w:pPr>
        <w:pStyle w:val="ListParagraph"/>
        <w:numPr>
          <w:ilvl w:val="1"/>
          <w:numId w:val="1"/>
        </w:numPr>
        <w:tabs>
          <w:tab w:val="left" w:pos="540"/>
          <w:tab w:val="left" w:pos="720"/>
        </w:tabs>
        <w:spacing w:before="60" w:after="60"/>
        <w:ind w:left="0" w:firstLine="0"/>
        <w:jc w:val="both"/>
        <w:rPr>
          <w:rFonts w:cs="Arial"/>
          <w:sz w:val="20"/>
          <w:szCs w:val="24"/>
          <w:lang w:val="en-GB"/>
        </w:rPr>
      </w:pPr>
      <w:r w:rsidRPr="00C20FA9">
        <w:rPr>
          <w:rFonts w:cs="Arial"/>
          <w:sz w:val="20"/>
          <w:szCs w:val="24"/>
          <w:lang w:val="en-GB"/>
        </w:rPr>
        <w:t>Turbine and generator maintenance and repair services, including essential consumables and spare parts.</w:t>
      </w:r>
    </w:p>
    <w:p w14:paraId="1EFAEE25" w14:textId="77777777" w:rsidR="001A1328" w:rsidRPr="00C20FA9" w:rsidRDefault="001A1328">
      <w:pPr>
        <w:pStyle w:val="ListParagraph"/>
        <w:tabs>
          <w:tab w:val="left" w:pos="540"/>
          <w:tab w:val="left" w:pos="720"/>
        </w:tabs>
        <w:spacing w:before="60" w:after="60"/>
        <w:ind w:left="0" w:firstLine="0"/>
        <w:jc w:val="both"/>
        <w:rPr>
          <w:rFonts w:cs="Arial"/>
          <w:sz w:val="20"/>
          <w:szCs w:val="24"/>
          <w:lang w:val="en-GB"/>
        </w:rPr>
      </w:pPr>
    </w:p>
    <w:p w14:paraId="1EFAEE26"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OBJECT OF PROCUREMENT</w:t>
      </w:r>
    </w:p>
    <w:p w14:paraId="1EFAEE27" w14:textId="77777777" w:rsidR="001A1328" w:rsidRPr="00E62CA9" w:rsidRDefault="001A1328">
      <w:pPr>
        <w:pStyle w:val="ListParagraph"/>
        <w:numPr>
          <w:ilvl w:val="1"/>
          <w:numId w:val="2"/>
        </w:numPr>
        <w:tabs>
          <w:tab w:val="left" w:pos="540"/>
        </w:tabs>
        <w:spacing w:before="60" w:after="60"/>
        <w:ind w:left="0" w:firstLine="0"/>
        <w:jc w:val="both"/>
        <w:rPr>
          <w:rFonts w:cs="Arial"/>
          <w:b/>
          <w:sz w:val="20"/>
          <w:szCs w:val="20"/>
          <w:lang w:val="en-GB"/>
        </w:rPr>
      </w:pPr>
      <w:r w:rsidRPr="00C20FA9">
        <w:rPr>
          <w:rFonts w:cs="Arial"/>
          <w:sz w:val="20"/>
          <w:szCs w:val="24"/>
          <w:lang w:val="en-GB"/>
        </w:rPr>
        <w:t>The quantities of services are given in Table 1 below:</w:t>
      </w:r>
    </w:p>
    <w:p w14:paraId="1EFAEE28" w14:textId="77777777" w:rsidR="001A1328" w:rsidRPr="00C20FA9" w:rsidRDefault="001A1328">
      <w:pPr>
        <w:pStyle w:val="ListParagraph"/>
        <w:tabs>
          <w:tab w:val="left" w:pos="540"/>
        </w:tabs>
        <w:spacing w:before="60" w:after="60"/>
        <w:ind w:left="0" w:firstLine="0"/>
        <w:jc w:val="right"/>
        <w:rPr>
          <w:rFonts w:cs="Arial"/>
          <w:b/>
          <w:sz w:val="20"/>
          <w:szCs w:val="24"/>
          <w:lang w:val="en-GB"/>
        </w:rPr>
      </w:pPr>
      <w:bookmarkStart w:id="2" w:name="_Hlk34729957"/>
      <w:r w:rsidRPr="00C20FA9">
        <w:rPr>
          <w:rFonts w:cs="Arial"/>
          <w:b/>
          <w:sz w:val="20"/>
          <w:szCs w:val="24"/>
          <w:lang w:val="en-GB"/>
        </w:rPr>
        <w:t>Table 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8"/>
        <w:gridCol w:w="5010"/>
        <w:gridCol w:w="1021"/>
        <w:gridCol w:w="2892"/>
      </w:tblGrid>
      <w:tr w:rsidR="001A1328" w:rsidRPr="00E62CA9" w14:paraId="1EFAEE2E" w14:textId="77777777">
        <w:trPr>
          <w:trHeight w:val="504"/>
        </w:trPr>
        <w:tc>
          <w:tcPr>
            <w:tcW w:w="768" w:type="dxa"/>
            <w:shd w:val="clear" w:color="auto" w:fill="F2F2F2"/>
            <w:vAlign w:val="center"/>
          </w:tcPr>
          <w:bookmarkEnd w:id="2"/>
          <w:p w14:paraId="1EFAEE29"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No.</w:t>
            </w:r>
          </w:p>
        </w:tc>
        <w:tc>
          <w:tcPr>
            <w:tcW w:w="5010" w:type="dxa"/>
            <w:shd w:val="clear" w:color="auto" w:fill="F2F2F2"/>
            <w:vAlign w:val="center"/>
          </w:tcPr>
          <w:p w14:paraId="1EFAEE2A"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Name of services</w:t>
            </w:r>
          </w:p>
        </w:tc>
        <w:tc>
          <w:tcPr>
            <w:tcW w:w="1021" w:type="dxa"/>
            <w:shd w:val="clear" w:color="auto" w:fill="F2F2F2"/>
            <w:vAlign w:val="center"/>
          </w:tcPr>
          <w:p w14:paraId="1EFAEE2B"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Measurement</w:t>
            </w:r>
          </w:p>
          <w:p w14:paraId="1EFAEE2C"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pcs.</w:t>
            </w:r>
          </w:p>
        </w:tc>
        <w:tc>
          <w:tcPr>
            <w:tcW w:w="2892" w:type="dxa"/>
            <w:shd w:val="clear" w:color="auto" w:fill="F2F2F2"/>
            <w:vAlign w:val="center"/>
          </w:tcPr>
          <w:p w14:paraId="1EFAEE2D" w14:textId="77777777" w:rsidR="001A1328" w:rsidRPr="00E62CA9" w:rsidRDefault="001A1328" w:rsidP="00E62CA9">
            <w:pPr>
              <w:jc w:val="center"/>
              <w:rPr>
                <w:rFonts w:cs="Arial"/>
                <w:sz w:val="20"/>
                <w:szCs w:val="20"/>
                <w:lang w:val="en-GB"/>
              </w:rPr>
            </w:pPr>
            <w:r w:rsidRPr="00E62CA9">
              <w:rPr>
                <w:rFonts w:cs="Arial"/>
                <w:b/>
                <w:sz w:val="20"/>
                <w:szCs w:val="20"/>
                <w:lang w:val="en-GB"/>
              </w:rPr>
              <w:t>Prelimina</w:t>
            </w:r>
            <w:r w:rsidR="00C20FA9" w:rsidRPr="00E62CA9">
              <w:rPr>
                <w:rFonts w:cs="Arial"/>
                <w:b/>
                <w:sz w:val="20"/>
                <w:szCs w:val="20"/>
                <w:lang w:val="en-GB"/>
              </w:rPr>
              <w:t>ry quantity</w:t>
            </w:r>
            <w:r w:rsidRPr="00E62CA9">
              <w:rPr>
                <w:rStyle w:val="FootnoteReference"/>
                <w:rFonts w:cs="Arial"/>
                <w:b/>
                <w:sz w:val="20"/>
                <w:szCs w:val="20"/>
                <w:lang w:val="en-GB"/>
              </w:rPr>
              <w:footnoteReference w:id="1"/>
            </w:r>
            <w:r w:rsidR="00C20FA9" w:rsidRPr="00E62CA9">
              <w:rPr>
                <w:rFonts w:cs="Arial"/>
                <w:b/>
                <w:sz w:val="20"/>
                <w:szCs w:val="20"/>
                <w:lang w:val="en-GB"/>
              </w:rPr>
              <w:t xml:space="preserve"> during the term of the Contract</w:t>
            </w:r>
          </w:p>
        </w:tc>
      </w:tr>
      <w:tr w:rsidR="001A1328" w:rsidRPr="00E62CA9" w14:paraId="1EFAEE33" w14:textId="77777777" w:rsidTr="009C5FAF">
        <w:trPr>
          <w:trHeight w:val="70"/>
        </w:trPr>
        <w:tc>
          <w:tcPr>
            <w:tcW w:w="768" w:type="dxa"/>
          </w:tcPr>
          <w:p w14:paraId="1EFAEE2F"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0"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A – Turbine</w:t>
            </w:r>
          </w:p>
        </w:tc>
        <w:tc>
          <w:tcPr>
            <w:tcW w:w="1021" w:type="dxa"/>
          </w:tcPr>
          <w:p w14:paraId="1EFAEE31"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2"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2</w:t>
            </w:r>
          </w:p>
        </w:tc>
      </w:tr>
      <w:tr w:rsidR="001A1328" w:rsidRPr="00E62CA9" w14:paraId="1EFAEE38" w14:textId="77777777" w:rsidTr="009C5FAF">
        <w:trPr>
          <w:trHeight w:val="70"/>
        </w:trPr>
        <w:tc>
          <w:tcPr>
            <w:tcW w:w="768" w:type="dxa"/>
          </w:tcPr>
          <w:p w14:paraId="1EFAEE34"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5"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B – Turbine</w:t>
            </w:r>
          </w:p>
        </w:tc>
        <w:tc>
          <w:tcPr>
            <w:tcW w:w="1021" w:type="dxa"/>
          </w:tcPr>
          <w:p w14:paraId="1EFAEE36"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7"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3D" w14:textId="77777777" w:rsidTr="009C5FAF">
        <w:trPr>
          <w:trHeight w:val="70"/>
        </w:trPr>
        <w:tc>
          <w:tcPr>
            <w:tcW w:w="768" w:type="dxa"/>
          </w:tcPr>
          <w:p w14:paraId="1EFAEE39"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A"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B – Turbine</w:t>
            </w:r>
          </w:p>
        </w:tc>
        <w:tc>
          <w:tcPr>
            <w:tcW w:w="1021" w:type="dxa"/>
          </w:tcPr>
          <w:p w14:paraId="1EFAEE3B"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C"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42" w14:textId="77777777" w:rsidTr="009C5FAF">
        <w:trPr>
          <w:trHeight w:val="70"/>
        </w:trPr>
        <w:tc>
          <w:tcPr>
            <w:tcW w:w="768" w:type="dxa"/>
          </w:tcPr>
          <w:p w14:paraId="1EFAEE3E"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F"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L1 – Generator </w:t>
            </w:r>
          </w:p>
        </w:tc>
        <w:tc>
          <w:tcPr>
            <w:tcW w:w="1021" w:type="dxa"/>
          </w:tcPr>
          <w:p w14:paraId="1EFAEE40"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1"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2</w:t>
            </w:r>
          </w:p>
        </w:tc>
      </w:tr>
      <w:tr w:rsidR="001A1328" w:rsidRPr="00E62CA9" w14:paraId="1EFAEE47" w14:textId="77777777" w:rsidTr="009C5FAF">
        <w:trPr>
          <w:trHeight w:val="70"/>
        </w:trPr>
        <w:tc>
          <w:tcPr>
            <w:tcW w:w="768" w:type="dxa"/>
          </w:tcPr>
          <w:p w14:paraId="1EFAEE43"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4"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L2 – Generator </w:t>
            </w:r>
          </w:p>
        </w:tc>
        <w:tc>
          <w:tcPr>
            <w:tcW w:w="1021" w:type="dxa"/>
          </w:tcPr>
          <w:p w14:paraId="1EFAEE45"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6"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4C" w14:textId="77777777" w:rsidTr="009C5FAF">
        <w:trPr>
          <w:trHeight w:val="70"/>
        </w:trPr>
        <w:tc>
          <w:tcPr>
            <w:tcW w:w="768" w:type="dxa"/>
          </w:tcPr>
          <w:p w14:paraId="1EFAEE48"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9"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 – Generator </w:t>
            </w:r>
          </w:p>
        </w:tc>
        <w:tc>
          <w:tcPr>
            <w:tcW w:w="1021" w:type="dxa"/>
          </w:tcPr>
          <w:p w14:paraId="1EFAEE4A"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B"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51" w14:textId="77777777" w:rsidTr="009C5FAF">
        <w:trPr>
          <w:trHeight w:val="70"/>
        </w:trPr>
        <w:tc>
          <w:tcPr>
            <w:tcW w:w="768" w:type="dxa"/>
          </w:tcPr>
          <w:p w14:paraId="1EFAEE4D"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E"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specialist</w:t>
            </w:r>
            <w:r w:rsidRPr="00E62CA9">
              <w:rPr>
                <w:rStyle w:val="FootnoteReference"/>
                <w:rFonts w:cs="Arial"/>
                <w:sz w:val="20"/>
                <w:szCs w:val="20"/>
                <w:lang w:val="en-GB"/>
              </w:rPr>
              <w:footnoteReference w:id="2"/>
            </w:r>
            <w:r w:rsidRPr="00E62CA9">
              <w:rPr>
                <w:rFonts w:cs="Arial"/>
                <w:sz w:val="20"/>
                <w:szCs w:val="20"/>
                <w:lang w:val="en-GB"/>
              </w:rPr>
              <w:t xml:space="preserve"> </w:t>
            </w:r>
          </w:p>
        </w:tc>
        <w:tc>
          <w:tcPr>
            <w:tcW w:w="1021" w:type="dxa"/>
          </w:tcPr>
          <w:p w14:paraId="1EFAEE4F"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0"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56" w14:textId="77777777" w:rsidTr="009C5FAF">
        <w:trPr>
          <w:trHeight w:val="70"/>
        </w:trPr>
        <w:tc>
          <w:tcPr>
            <w:tcW w:w="768" w:type="dxa"/>
          </w:tcPr>
          <w:p w14:paraId="1EFAEE52"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3"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representative</w:t>
            </w:r>
            <w:r w:rsidRPr="00E62CA9">
              <w:rPr>
                <w:rStyle w:val="FootnoteReference"/>
                <w:rFonts w:cs="Arial"/>
                <w:sz w:val="20"/>
                <w:szCs w:val="20"/>
                <w:lang w:val="en-GB"/>
              </w:rPr>
              <w:footnoteReference w:id="3"/>
            </w:r>
            <w:r w:rsidRPr="00E62CA9">
              <w:rPr>
                <w:rFonts w:cs="Arial"/>
                <w:sz w:val="20"/>
                <w:szCs w:val="20"/>
                <w:lang w:val="en-GB"/>
              </w:rPr>
              <w:t xml:space="preserve"> </w:t>
            </w:r>
          </w:p>
        </w:tc>
        <w:tc>
          <w:tcPr>
            <w:tcW w:w="1021" w:type="dxa"/>
          </w:tcPr>
          <w:p w14:paraId="1EFAEE54"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5"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5B" w14:textId="77777777" w:rsidTr="00E62CA9">
        <w:trPr>
          <w:trHeight w:val="70"/>
        </w:trPr>
        <w:tc>
          <w:tcPr>
            <w:tcW w:w="768" w:type="dxa"/>
          </w:tcPr>
          <w:p w14:paraId="1EFAEE57"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8"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technician</w:t>
            </w:r>
            <w:r w:rsidRPr="00E62CA9">
              <w:rPr>
                <w:rStyle w:val="FootnoteReference"/>
                <w:rFonts w:cs="Arial"/>
                <w:b/>
                <w:sz w:val="20"/>
                <w:szCs w:val="20"/>
                <w:lang w:val="en-GB"/>
              </w:rPr>
              <w:footnoteReference w:id="4"/>
            </w:r>
            <w:r w:rsidRPr="00E62CA9">
              <w:rPr>
                <w:rFonts w:cs="Arial"/>
                <w:sz w:val="20"/>
                <w:szCs w:val="20"/>
                <w:lang w:val="en-GB"/>
              </w:rPr>
              <w:t xml:space="preserve"> </w:t>
            </w:r>
          </w:p>
        </w:tc>
        <w:tc>
          <w:tcPr>
            <w:tcW w:w="1021" w:type="dxa"/>
          </w:tcPr>
          <w:p w14:paraId="1EFAEE59"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A"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0" w14:textId="77777777" w:rsidTr="00E62CA9">
        <w:trPr>
          <w:trHeight w:val="70"/>
        </w:trPr>
        <w:tc>
          <w:tcPr>
            <w:tcW w:w="768" w:type="dxa"/>
          </w:tcPr>
          <w:p w14:paraId="1EFAEE5C"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D"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Project manager</w:t>
            </w:r>
          </w:p>
        </w:tc>
        <w:tc>
          <w:tcPr>
            <w:tcW w:w="1021" w:type="dxa"/>
          </w:tcPr>
          <w:p w14:paraId="1EFAEE5E"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F"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5" w14:textId="77777777" w:rsidTr="00E62CA9">
        <w:trPr>
          <w:trHeight w:val="70"/>
        </w:trPr>
        <w:tc>
          <w:tcPr>
            <w:tcW w:w="768" w:type="dxa"/>
          </w:tcPr>
          <w:p w14:paraId="1EFAEE61"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2"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HS representative</w:t>
            </w:r>
            <w:r w:rsidRPr="00E62CA9">
              <w:rPr>
                <w:rStyle w:val="FootnoteReference"/>
                <w:rFonts w:cs="Arial"/>
                <w:b/>
                <w:sz w:val="20"/>
                <w:szCs w:val="20"/>
                <w:lang w:val="en-GB"/>
              </w:rPr>
              <w:footnoteReference w:id="5"/>
            </w:r>
            <w:r w:rsidRPr="00E62CA9">
              <w:rPr>
                <w:rFonts w:cs="Arial"/>
                <w:sz w:val="20"/>
                <w:szCs w:val="20"/>
                <w:lang w:val="en-GB"/>
              </w:rPr>
              <w:t xml:space="preserve"> </w:t>
            </w:r>
          </w:p>
        </w:tc>
        <w:tc>
          <w:tcPr>
            <w:tcW w:w="1021" w:type="dxa"/>
          </w:tcPr>
          <w:p w14:paraId="1EFAEE63"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64"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A" w14:textId="77777777">
        <w:trPr>
          <w:trHeight w:val="282"/>
        </w:trPr>
        <w:tc>
          <w:tcPr>
            <w:tcW w:w="768" w:type="dxa"/>
          </w:tcPr>
          <w:p w14:paraId="1EFAEE66"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7"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accommodation/</w:t>
            </w:r>
            <w:r w:rsidRPr="00E62CA9">
              <w:rPr>
                <w:rStyle w:val="FootnoteReference"/>
                <w:rFonts w:cs="Arial"/>
                <w:b/>
                <w:sz w:val="20"/>
                <w:szCs w:val="20"/>
                <w:lang w:val="en-GB"/>
              </w:rPr>
              <w:footnoteReference w:id="6"/>
            </w:r>
          </w:p>
        </w:tc>
        <w:tc>
          <w:tcPr>
            <w:tcW w:w="1021" w:type="dxa"/>
          </w:tcPr>
          <w:p w14:paraId="1EFAEE68"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69"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6F" w14:textId="77777777" w:rsidTr="00E62CA9">
        <w:trPr>
          <w:trHeight w:val="70"/>
        </w:trPr>
        <w:tc>
          <w:tcPr>
            <w:tcW w:w="768" w:type="dxa"/>
          </w:tcPr>
          <w:p w14:paraId="1EFAEE6B"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C"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allowance</w:t>
            </w:r>
            <w:r w:rsidRPr="00E62CA9">
              <w:rPr>
                <w:rStyle w:val="FootnoteReference"/>
                <w:rFonts w:cs="Arial"/>
                <w:b/>
                <w:sz w:val="20"/>
                <w:szCs w:val="20"/>
                <w:lang w:val="en-GB"/>
              </w:rPr>
              <w:footnoteReference w:id="7"/>
            </w:r>
            <w:r w:rsidRPr="00E62CA9">
              <w:rPr>
                <w:rFonts w:cs="Arial"/>
                <w:sz w:val="20"/>
                <w:szCs w:val="20"/>
                <w:lang w:val="en-GB"/>
              </w:rPr>
              <w:t xml:space="preserve"> </w:t>
            </w:r>
          </w:p>
        </w:tc>
        <w:tc>
          <w:tcPr>
            <w:tcW w:w="1021" w:type="dxa"/>
          </w:tcPr>
          <w:p w14:paraId="1EFAEE6D"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6E"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74" w14:textId="77777777" w:rsidTr="00E62CA9">
        <w:trPr>
          <w:trHeight w:val="70"/>
        </w:trPr>
        <w:tc>
          <w:tcPr>
            <w:tcW w:w="768" w:type="dxa"/>
          </w:tcPr>
          <w:p w14:paraId="1EFAEE70"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71"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transportation</w:t>
            </w:r>
            <w:r w:rsidRPr="00E62CA9">
              <w:rPr>
                <w:rStyle w:val="FootnoteReference"/>
                <w:rFonts w:cs="Arial"/>
                <w:b/>
                <w:sz w:val="20"/>
                <w:szCs w:val="20"/>
                <w:lang w:val="en-GB"/>
              </w:rPr>
              <w:footnoteReference w:id="8"/>
            </w:r>
          </w:p>
        </w:tc>
        <w:tc>
          <w:tcPr>
            <w:tcW w:w="1021" w:type="dxa"/>
          </w:tcPr>
          <w:p w14:paraId="1EFAEE72"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73"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79" w14:textId="77777777" w:rsidTr="00E62CA9">
        <w:trPr>
          <w:trHeight w:val="70"/>
        </w:trPr>
        <w:tc>
          <w:tcPr>
            <w:tcW w:w="768" w:type="dxa"/>
          </w:tcPr>
          <w:p w14:paraId="1EFAEE75"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76" w14:textId="77777777" w:rsidR="001A1328" w:rsidRPr="00E62CA9" w:rsidRDefault="00C20FA9" w:rsidP="00E62CA9">
            <w:pPr>
              <w:pStyle w:val="ListParagraph"/>
              <w:tabs>
                <w:tab w:val="left" w:pos="540"/>
              </w:tabs>
              <w:ind w:left="0" w:firstLine="0"/>
              <w:jc w:val="both"/>
              <w:rPr>
                <w:rFonts w:cs="Arial"/>
                <w:sz w:val="20"/>
                <w:szCs w:val="20"/>
                <w:lang w:val="en-GB"/>
              </w:rPr>
            </w:pPr>
            <w:r w:rsidRPr="00E62CA9">
              <w:rPr>
                <w:rFonts w:cs="Arial"/>
                <w:sz w:val="20"/>
                <w:szCs w:val="20"/>
                <w:lang w:val="en-GB"/>
              </w:rPr>
              <w:t>Specialist</w:t>
            </w:r>
            <w:r w:rsidR="001A1328" w:rsidRPr="00E62CA9">
              <w:rPr>
                <w:rFonts w:cs="Arial"/>
                <w:sz w:val="20"/>
                <w:szCs w:val="20"/>
                <w:lang w:val="en-GB"/>
              </w:rPr>
              <w:t xml:space="preserve"> </w:t>
            </w:r>
            <w:r w:rsidRPr="00E62CA9">
              <w:rPr>
                <w:rFonts w:cs="Arial"/>
                <w:sz w:val="20"/>
                <w:szCs w:val="20"/>
                <w:lang w:val="en-GB"/>
              </w:rPr>
              <w:t>mobilisation</w:t>
            </w:r>
            <w:r w:rsidR="001A1328" w:rsidRPr="00E62CA9">
              <w:rPr>
                <w:rStyle w:val="FootnoteReference"/>
                <w:rFonts w:cs="Arial"/>
                <w:b/>
                <w:sz w:val="20"/>
                <w:szCs w:val="20"/>
                <w:lang w:val="en-GB"/>
              </w:rPr>
              <w:footnoteReference w:id="9"/>
            </w:r>
          </w:p>
        </w:tc>
        <w:tc>
          <w:tcPr>
            <w:tcW w:w="1021" w:type="dxa"/>
          </w:tcPr>
          <w:p w14:paraId="1EFAEE77" w14:textId="77777777" w:rsidR="001A1328" w:rsidRPr="00E62CA9" w:rsidRDefault="001A1328" w:rsidP="00110A48">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78" w14:textId="77777777" w:rsidR="001A1328" w:rsidRPr="00E62CA9" w:rsidRDefault="001A1328" w:rsidP="00110A48">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bl>
    <w:p w14:paraId="1EFAEE7A" w14:textId="77777777" w:rsidR="001A1328" w:rsidRPr="00E62CA9" w:rsidRDefault="001A1328">
      <w:pPr>
        <w:tabs>
          <w:tab w:val="left" w:pos="567"/>
        </w:tabs>
        <w:spacing w:before="60" w:after="60"/>
        <w:ind w:firstLine="0"/>
        <w:jc w:val="both"/>
        <w:rPr>
          <w:rFonts w:cs="Arial"/>
          <w:b/>
          <w:sz w:val="20"/>
          <w:szCs w:val="20"/>
          <w:lang w:val="en-GB"/>
        </w:rPr>
      </w:pPr>
    </w:p>
    <w:p w14:paraId="1EFAEE7B" w14:textId="77777777" w:rsidR="001A1328" w:rsidRPr="00E62CA9" w:rsidRDefault="001A1328">
      <w:pPr>
        <w:pStyle w:val="ListParagraph"/>
        <w:numPr>
          <w:ilvl w:val="1"/>
          <w:numId w:val="2"/>
        </w:numPr>
        <w:tabs>
          <w:tab w:val="left" w:pos="567"/>
        </w:tabs>
        <w:spacing w:before="60" w:after="60"/>
        <w:ind w:left="0" w:firstLine="0"/>
        <w:jc w:val="both"/>
        <w:rPr>
          <w:rFonts w:cs="Arial"/>
          <w:b/>
          <w:sz w:val="20"/>
          <w:szCs w:val="20"/>
          <w:lang w:val="en-GB"/>
        </w:rPr>
      </w:pPr>
      <w:r w:rsidRPr="00C20FA9">
        <w:rPr>
          <w:rFonts w:cs="Arial"/>
          <w:sz w:val="20"/>
          <w:szCs w:val="24"/>
          <w:lang w:val="en-GB"/>
        </w:rPr>
        <w:t>Quantities of turbine spare parts required for Turbine Inspection “C” are provided in Annex 2.</w:t>
      </w:r>
    </w:p>
    <w:p w14:paraId="1EFAEE7C" w14:textId="77777777" w:rsidR="001A1328" w:rsidRPr="00E62CA9" w:rsidRDefault="001A1328">
      <w:pPr>
        <w:pStyle w:val="ListParagraph"/>
        <w:numPr>
          <w:ilvl w:val="1"/>
          <w:numId w:val="2"/>
        </w:numPr>
        <w:tabs>
          <w:tab w:val="left" w:pos="567"/>
        </w:tabs>
        <w:spacing w:before="60" w:after="60"/>
        <w:ind w:left="0" w:firstLine="0"/>
        <w:jc w:val="both"/>
        <w:rPr>
          <w:rFonts w:cs="Arial"/>
          <w:b/>
          <w:sz w:val="20"/>
          <w:szCs w:val="20"/>
          <w:lang w:val="en-GB"/>
        </w:rPr>
      </w:pPr>
      <w:r w:rsidRPr="00C20FA9">
        <w:rPr>
          <w:rFonts w:cs="Arial"/>
          <w:sz w:val="20"/>
          <w:szCs w:val="24"/>
          <w:lang w:val="en-GB"/>
        </w:rPr>
        <w:lastRenderedPageBreak/>
        <w:t>Quantities of generator spare parts required for Generator Inspection “L3” are provided in Annex 5.</w:t>
      </w:r>
    </w:p>
    <w:p w14:paraId="1EFAEE7D" w14:textId="77777777" w:rsidR="001A1328" w:rsidRPr="00E62CA9" w:rsidRDefault="001A1328">
      <w:pPr>
        <w:pStyle w:val="ListParagraph"/>
        <w:numPr>
          <w:ilvl w:val="1"/>
          <w:numId w:val="2"/>
        </w:numPr>
        <w:tabs>
          <w:tab w:val="left" w:pos="567"/>
        </w:tabs>
        <w:spacing w:before="60" w:after="60"/>
        <w:ind w:left="0" w:firstLine="0"/>
        <w:jc w:val="both"/>
        <w:rPr>
          <w:rFonts w:cs="Arial"/>
          <w:b/>
          <w:sz w:val="20"/>
          <w:szCs w:val="20"/>
          <w:lang w:val="en-GB"/>
        </w:rPr>
      </w:pPr>
      <w:r w:rsidRPr="00C20FA9">
        <w:rPr>
          <w:rFonts w:cs="Arial"/>
          <w:sz w:val="20"/>
          <w:szCs w:val="24"/>
          <w:lang w:val="en-GB"/>
        </w:rPr>
        <w:t>Quantities of turbine spare parts required for Turbine Inspection “B” are provided in Annex 3.</w:t>
      </w:r>
    </w:p>
    <w:p w14:paraId="1EFAEE7E" w14:textId="77777777" w:rsidR="001A1328" w:rsidRPr="00E62CA9" w:rsidRDefault="001A1328">
      <w:pPr>
        <w:pStyle w:val="ListParagraph"/>
        <w:numPr>
          <w:ilvl w:val="1"/>
          <w:numId w:val="2"/>
        </w:numPr>
        <w:tabs>
          <w:tab w:val="left" w:pos="567"/>
        </w:tabs>
        <w:spacing w:before="60" w:after="60"/>
        <w:ind w:left="0" w:firstLine="0"/>
        <w:jc w:val="both"/>
        <w:rPr>
          <w:rFonts w:cs="Arial"/>
          <w:b/>
          <w:sz w:val="20"/>
          <w:szCs w:val="20"/>
          <w:lang w:val="en-GB"/>
        </w:rPr>
      </w:pPr>
      <w:r w:rsidRPr="00C20FA9">
        <w:rPr>
          <w:rFonts w:cs="Arial"/>
          <w:sz w:val="20"/>
          <w:szCs w:val="24"/>
          <w:lang w:val="en-GB"/>
        </w:rPr>
        <w:t>Quantities of special generator tools required for Generator Inspection “L3” are provided in Annex 6.</w:t>
      </w:r>
    </w:p>
    <w:p w14:paraId="1EFAEE7F" w14:textId="77777777" w:rsidR="001A1328" w:rsidRPr="00E62CA9" w:rsidRDefault="001A1328">
      <w:pPr>
        <w:pStyle w:val="ListParagraph"/>
        <w:numPr>
          <w:ilvl w:val="1"/>
          <w:numId w:val="2"/>
        </w:numPr>
        <w:tabs>
          <w:tab w:val="left" w:pos="567"/>
        </w:tabs>
        <w:spacing w:before="60" w:after="60"/>
        <w:ind w:left="0" w:firstLine="0"/>
        <w:jc w:val="both"/>
        <w:rPr>
          <w:rFonts w:cs="Arial"/>
          <w:b/>
          <w:sz w:val="20"/>
          <w:szCs w:val="20"/>
          <w:lang w:val="en-GB"/>
        </w:rPr>
      </w:pPr>
      <w:r w:rsidRPr="00C20FA9">
        <w:rPr>
          <w:rFonts w:cs="Arial"/>
          <w:sz w:val="20"/>
          <w:szCs w:val="24"/>
          <w:lang w:val="en-GB"/>
        </w:rPr>
        <w:t>Quantities of special turbine tools required for Turbine Inspection “C” are provided in Annex 7.</w:t>
      </w:r>
    </w:p>
    <w:p w14:paraId="1EFAEE80" w14:textId="77777777" w:rsidR="001A1328" w:rsidRPr="00C20FA9" w:rsidRDefault="001A1328">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a specific model, source, process, brand, patent, type, origin, or manufacturer is specified when describing the object in the Technical Specifications or other procurement documents or their appendices, such specification shall be understood by the Supplier as “or equivalent.”</w:t>
      </w:r>
    </w:p>
    <w:p w14:paraId="1EFAEE81" w14:textId="77777777" w:rsidR="001A1328" w:rsidRPr="00C20FA9" w:rsidRDefault="001A1328">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standards, technical certificates, or general technical specifications are specified when describing the object in the Technical Specifications or other procurement documents or their appendices, such specification shall be understood by the Supplier as “or equivalent.”</w:t>
      </w:r>
    </w:p>
    <w:p w14:paraId="1EFAEE82" w14:textId="77777777" w:rsidR="001A1328" w:rsidRPr="00C20FA9" w:rsidRDefault="001A1328">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necessary, the Customer shall have the right to procure other services or goods not listed in Section 2 of the Technical Specification but related to the Object of procurement, such as other safety labels, turbine or generator parts not specified in the Technical Specification but integral to the equipment (hereinafter the Related Services or Goods). All conditions set forth in this Technical Specification and Agreement (warranties, defect rectification, etc.) shall apply to the procurement of Related Services or Goods, unless explicitly stated otherwise. The total price of such Related Services or Goods shall not exceed 10% of the original Agreement value.</w:t>
      </w:r>
    </w:p>
    <w:p w14:paraId="1EFAEE83" w14:textId="77777777" w:rsidR="001A1328" w:rsidRPr="00E62CA9" w:rsidRDefault="001A1328">
      <w:pPr>
        <w:spacing w:before="60" w:after="60"/>
        <w:ind w:firstLine="0"/>
        <w:jc w:val="both"/>
        <w:rPr>
          <w:rFonts w:cs="Arial"/>
          <w:b/>
          <w:sz w:val="20"/>
          <w:szCs w:val="20"/>
          <w:lang w:val="en-GB"/>
        </w:rPr>
      </w:pPr>
    </w:p>
    <w:p w14:paraId="1EFAEE84" w14:textId="77777777" w:rsidR="001A1328" w:rsidRPr="00C20FA9" w:rsidRDefault="001A1328">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PLACE OF SERVICE DELIVERY</w:t>
      </w:r>
    </w:p>
    <w:p w14:paraId="1EFAEE85" w14:textId="77777777" w:rsidR="001A1328" w:rsidRPr="00E62CA9" w:rsidRDefault="001A1328">
      <w:pPr>
        <w:pStyle w:val="ListParagraph"/>
        <w:numPr>
          <w:ilvl w:val="1"/>
          <w:numId w:val="2"/>
        </w:numPr>
        <w:tabs>
          <w:tab w:val="left" w:pos="540"/>
        </w:tabs>
        <w:spacing w:before="60" w:after="60"/>
        <w:ind w:left="0" w:firstLine="0"/>
        <w:jc w:val="both"/>
        <w:rPr>
          <w:rFonts w:cs="Arial"/>
          <w:sz w:val="20"/>
          <w:szCs w:val="20"/>
          <w:lang w:val="en-GB"/>
        </w:rPr>
      </w:pPr>
      <w:r w:rsidRPr="00C20FA9">
        <w:rPr>
          <w:rFonts w:cs="Arial"/>
          <w:sz w:val="20"/>
          <w:szCs w:val="24"/>
          <w:lang w:val="en-GB"/>
        </w:rPr>
        <w:t xml:space="preserve">Services </w:t>
      </w:r>
      <w:r w:rsidR="00C20FA9">
        <w:rPr>
          <w:rFonts w:cs="Arial"/>
          <w:sz w:val="20"/>
          <w:szCs w:val="24"/>
          <w:lang w:val="en-GB"/>
        </w:rPr>
        <w:t xml:space="preserve">shall be </w:t>
      </w:r>
      <w:r w:rsidRPr="00C20FA9">
        <w:rPr>
          <w:rFonts w:cs="Arial"/>
          <w:sz w:val="20"/>
          <w:szCs w:val="24"/>
          <w:lang w:val="en-GB"/>
        </w:rPr>
        <w:t xml:space="preserve">provided at: UAB Kauno kogeneracinė jėgainė, </w:t>
      </w:r>
      <w:proofErr w:type="spellStart"/>
      <w:r w:rsidRPr="00C20FA9">
        <w:rPr>
          <w:rFonts w:cs="Arial"/>
          <w:sz w:val="20"/>
          <w:szCs w:val="24"/>
          <w:lang w:val="en-GB"/>
        </w:rPr>
        <w:t>Jėgainės</w:t>
      </w:r>
      <w:proofErr w:type="spellEnd"/>
      <w:r w:rsidRPr="00C20FA9">
        <w:rPr>
          <w:rFonts w:cs="Arial"/>
          <w:sz w:val="20"/>
          <w:szCs w:val="24"/>
          <w:lang w:val="en-GB"/>
        </w:rPr>
        <w:t xml:space="preserve"> </w:t>
      </w:r>
      <w:r w:rsidR="00C20FA9" w:rsidRPr="00C20FA9">
        <w:rPr>
          <w:rFonts w:cs="Arial"/>
          <w:sz w:val="20"/>
          <w:szCs w:val="24"/>
          <w:lang w:val="en-GB"/>
        </w:rPr>
        <w:t>g</w:t>
      </w:r>
      <w:r w:rsidRPr="00C20FA9">
        <w:rPr>
          <w:rFonts w:cs="Arial"/>
          <w:sz w:val="20"/>
          <w:szCs w:val="24"/>
          <w:lang w:val="en-GB"/>
        </w:rPr>
        <w:t xml:space="preserve">. 6, </w:t>
      </w:r>
      <w:proofErr w:type="spellStart"/>
      <w:r w:rsidRPr="00C20FA9">
        <w:rPr>
          <w:rFonts w:cs="Arial"/>
          <w:sz w:val="20"/>
          <w:szCs w:val="24"/>
          <w:lang w:val="en-GB"/>
        </w:rPr>
        <w:t>Biruliškiai</w:t>
      </w:r>
      <w:proofErr w:type="spellEnd"/>
      <w:r w:rsidRPr="00C20FA9">
        <w:rPr>
          <w:rFonts w:cs="Arial"/>
          <w:sz w:val="20"/>
          <w:szCs w:val="24"/>
          <w:lang w:val="en-GB"/>
        </w:rPr>
        <w:t xml:space="preserve"> Village, Kaunas District, 54469.</w:t>
      </w:r>
    </w:p>
    <w:p w14:paraId="1EFAEE86" w14:textId="77777777" w:rsidR="001A1328" w:rsidRPr="00C20FA9" w:rsidRDefault="001A1328">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 xml:space="preserve">REQUIREMENTS FOR THE PURCHASE OBJECT </w:t>
      </w:r>
    </w:p>
    <w:p w14:paraId="1EFAEE87" w14:textId="77777777" w:rsidR="001A1328" w:rsidRPr="00E62CA9" w:rsidRDefault="001A1328">
      <w:pPr>
        <w:pStyle w:val="ListParagraph"/>
        <w:pBdr>
          <w:bottom w:val="single" w:sz="8" w:space="1" w:color="auto"/>
          <w:between w:val="single" w:sz="12" w:space="1" w:color="auto"/>
        </w:pBdr>
        <w:tabs>
          <w:tab w:val="left" w:pos="540"/>
        </w:tabs>
        <w:spacing w:before="60" w:after="60"/>
        <w:ind w:left="0" w:firstLine="0"/>
        <w:rPr>
          <w:rFonts w:cs="Arial"/>
          <w:sz w:val="20"/>
          <w:szCs w:val="20"/>
          <w:lang w:val="en-GB"/>
        </w:rPr>
      </w:pPr>
      <w:r w:rsidRPr="00C20FA9">
        <w:rPr>
          <w:rFonts w:cs="Arial"/>
          <w:b/>
          <w:sz w:val="20"/>
          <w:szCs w:val="24"/>
          <w:lang w:val="en-GB"/>
        </w:rPr>
        <w:t>Description of the Object of procurement</w:t>
      </w:r>
    </w:p>
    <w:p w14:paraId="1EFAEE88"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 General Information:</w:t>
      </w:r>
    </w:p>
    <w:p w14:paraId="1EFAEE89"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5.1.1. Turbine Manufacturer and Type – Siemens SST-300</w:t>
      </w:r>
    </w:p>
    <w:p w14:paraId="1EFAEE8A"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5.1.2. Turbine Serial No. 6051</w:t>
      </w:r>
    </w:p>
    <w:p w14:paraId="1EFAEE8B"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5.1.3. Generator Manufacturer and Type – ABB AMS 1120 LG 4 LBS</w:t>
      </w:r>
    </w:p>
    <w:p w14:paraId="1EFAEE8C"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5.1.4. Generator serial No. 8269322</w:t>
      </w:r>
    </w:p>
    <w:p w14:paraId="1EFAEE8D"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5.2. Services must be provided in compliance with the requirements set out in Annex 1 and Annex 2 of the Technical Specification.</w:t>
      </w:r>
    </w:p>
    <w:p w14:paraId="1EFAEE8E"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5.3. The Service Provider shall deliver the Services (works) using its own resources, infrastructure, and equipment, at its own risk and expense, acquiring structures, devices, apparatus, products, materials, and other equipment necessary to perform the Services. </w:t>
      </w:r>
    </w:p>
    <w:p w14:paraId="1EFAEE8F"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5.4. The Service Provider may use stationary specialized equipment installed on the Customer’s premises to provide the Services (works).</w:t>
      </w:r>
    </w:p>
    <w:p w14:paraId="1EFAEE90"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5.5. While performing the Services under the Agreement, the Service Provider shall be responsible for work safety on-site. </w:t>
      </w:r>
    </w:p>
    <w:p w14:paraId="1EFAEE91"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5.6. No later than five (5) business days prior to the commencement of the Services (works), the Service Provider shall submit to the Customer, in a free-form document, two lists: </w:t>
      </w:r>
    </w:p>
    <w:p w14:paraId="1EFAEE92"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5.6.1. A list of employees who will provide the Services (works) or supervise the execution and quality of the Services (works).</w:t>
      </w:r>
      <w:r w:rsidR="00C20FA9" w:rsidRPr="00E62CA9">
        <w:rPr>
          <w:rFonts w:cs="Arial"/>
          <w:sz w:val="20"/>
          <w:szCs w:val="20"/>
          <w:lang w:val="en-GB"/>
        </w:rPr>
        <w:t xml:space="preserve"> </w:t>
      </w:r>
      <w:r w:rsidRPr="00E62CA9">
        <w:rPr>
          <w:rFonts w:cs="Arial"/>
          <w:sz w:val="20"/>
          <w:szCs w:val="20"/>
          <w:lang w:val="en-GB"/>
        </w:rPr>
        <w:t xml:space="preserve">The list must include employee qualifications and </w:t>
      </w:r>
      <w:proofErr w:type="gramStart"/>
      <w:r w:rsidRPr="00E62CA9">
        <w:rPr>
          <w:rFonts w:cs="Arial"/>
          <w:sz w:val="20"/>
          <w:szCs w:val="20"/>
          <w:lang w:val="en-GB"/>
        </w:rPr>
        <w:t>positions;</w:t>
      </w:r>
      <w:proofErr w:type="gramEnd"/>
    </w:p>
    <w:p w14:paraId="1EFAEE93"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5.6.2. A list of mechanisms used by the Service Provider for entry to and exit from the Customer’s premises.</w:t>
      </w:r>
    </w:p>
    <w:p w14:paraId="1EFAEE94"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5.7. The Service Provider’s personnel must comply with the Customer’s internal work rules, which will be communicated during the Service Provider’s employee health and safety induction. </w:t>
      </w:r>
    </w:p>
    <w:p w14:paraId="1EFAEE95"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5.8. The Service Provider’s personnel must wear specialised clothing with the Service Provider’s identifying insignia.</w:t>
      </w:r>
    </w:p>
    <w:p w14:paraId="1EFAEE96"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5.9. No later than three (3) business days prior to the commencement of the Services (works), the Service Provider shall submit a </w:t>
      </w:r>
      <w:proofErr w:type="gramStart"/>
      <w:r w:rsidRPr="00E62CA9">
        <w:rPr>
          <w:rFonts w:cs="Arial"/>
          <w:sz w:val="20"/>
          <w:szCs w:val="20"/>
          <w:lang w:val="en-GB"/>
        </w:rPr>
        <w:t>free-form</w:t>
      </w:r>
      <w:proofErr w:type="gramEnd"/>
      <w:r w:rsidRPr="00E62CA9">
        <w:rPr>
          <w:rFonts w:cs="Arial"/>
          <w:sz w:val="20"/>
          <w:szCs w:val="20"/>
          <w:lang w:val="en-GB"/>
        </w:rPr>
        <w:t xml:space="preserve"> written request to the Customer for connecting its electrical</w:t>
      </w:r>
      <w:r w:rsidRPr="00E62CA9">
        <w:rPr>
          <w:rFonts w:cs="Arial"/>
          <w:b/>
          <w:sz w:val="20"/>
          <w:szCs w:val="20"/>
          <w:lang w:val="en-GB"/>
        </w:rPr>
        <w:t xml:space="preserve"> equipment to </w:t>
      </w:r>
      <w:r w:rsidRPr="00E62CA9">
        <w:rPr>
          <w:rFonts w:cs="Arial"/>
          <w:sz w:val="20"/>
          <w:szCs w:val="20"/>
          <w:lang w:val="en-GB"/>
        </w:rPr>
        <w:t>the Customer’s power network, specifying the person responsible for the electrical system.</w:t>
      </w:r>
    </w:p>
    <w:p w14:paraId="1EFAEE97"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5.10. The Service Provider shall repair its own tools, equipment, and machinery at its own expense.</w:t>
      </w:r>
    </w:p>
    <w:p w14:paraId="1EFAEE98"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5.11. The Service Provider shall provide necessary protective, hygiene, and fire safety equipment at its own expense.</w:t>
      </w:r>
    </w:p>
    <w:p w14:paraId="1EFAEE99"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5.12. The Service Provider shall provide technical means required to perform Services at height at its own expense.</w:t>
      </w:r>
    </w:p>
    <w:p w14:paraId="1EFAEE9A"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5.13. Goods must comply with the requirements set out in the Technical Specification appendices: Annex 3, Annex 4, Annex 5, Annex 6, Annex 7.</w:t>
      </w:r>
    </w:p>
    <w:p w14:paraId="1EFAEE9B" w14:textId="77777777" w:rsidR="001A1328" w:rsidRPr="00C20FA9" w:rsidRDefault="001A1328">
      <w:pPr>
        <w:tabs>
          <w:tab w:val="left" w:pos="567"/>
        </w:tabs>
        <w:spacing w:before="60" w:after="60"/>
        <w:ind w:firstLine="0"/>
        <w:contextualSpacing/>
        <w:jc w:val="both"/>
        <w:rPr>
          <w:rFonts w:cs="Arial"/>
          <w:sz w:val="20"/>
          <w:szCs w:val="24"/>
          <w:lang w:val="en-GB"/>
        </w:rPr>
      </w:pPr>
      <w:r w:rsidRPr="00E62CA9">
        <w:rPr>
          <w:rFonts w:cs="Arial"/>
          <w:sz w:val="20"/>
          <w:szCs w:val="20"/>
          <w:lang w:val="en-GB"/>
        </w:rPr>
        <w:t>5.14. Within ten (10) business days of signing the Agreement, the Service Provider undertakes to review and sign Annex 8 “Contractor Work Organisation Standard.”</w:t>
      </w:r>
    </w:p>
    <w:p w14:paraId="168CDCFD" w14:textId="77777777" w:rsidR="009C5FAF" w:rsidRPr="00E62CA9" w:rsidRDefault="009C5FAF">
      <w:pPr>
        <w:tabs>
          <w:tab w:val="left" w:pos="567"/>
        </w:tabs>
        <w:spacing w:before="60" w:after="60"/>
        <w:ind w:firstLine="0"/>
        <w:contextualSpacing/>
        <w:jc w:val="both"/>
        <w:rPr>
          <w:rFonts w:cs="Arial"/>
          <w:sz w:val="20"/>
          <w:szCs w:val="20"/>
          <w:lang w:val="en-GB"/>
        </w:rPr>
      </w:pPr>
    </w:p>
    <w:p w14:paraId="1EFAEE9C" w14:textId="77777777" w:rsidR="001A1328" w:rsidRPr="00C20FA9" w:rsidRDefault="001A1328">
      <w:pPr>
        <w:pStyle w:val="ListParagraph"/>
        <w:numPr>
          <w:ilvl w:val="0"/>
          <w:numId w:val="3"/>
        </w:numPr>
        <w:pBdr>
          <w:top w:val="single" w:sz="4" w:space="1" w:color="auto"/>
          <w:bottom w:val="single" w:sz="4" w:space="1" w:color="auto"/>
        </w:pBdr>
        <w:shd w:val="clear" w:color="auto" w:fill="D9D9D9"/>
        <w:tabs>
          <w:tab w:val="left" w:pos="284"/>
          <w:tab w:val="left" w:pos="360"/>
        </w:tabs>
        <w:spacing w:before="60" w:after="60"/>
        <w:ind w:left="0" w:firstLine="0"/>
        <w:jc w:val="both"/>
        <w:rPr>
          <w:rStyle w:val="Laukeliai"/>
          <w:rFonts w:cs="Arial"/>
          <w:b/>
          <w:szCs w:val="24"/>
          <w:lang w:val="en-GB"/>
        </w:rPr>
      </w:pPr>
      <w:r w:rsidRPr="00C20FA9">
        <w:rPr>
          <w:rStyle w:val="Laukeliai"/>
          <w:rFonts w:cs="Arial"/>
          <w:b/>
          <w:szCs w:val="24"/>
          <w:lang w:val="en-GB"/>
        </w:rPr>
        <w:t>PROCEDURE AND TERMS OF SERVICE DELIVERY</w:t>
      </w:r>
      <w:r w:rsidR="00C20FA9" w:rsidRPr="00C20FA9">
        <w:rPr>
          <w:rStyle w:val="Laukeliai"/>
          <w:rFonts w:cs="Arial"/>
          <w:b/>
          <w:szCs w:val="24"/>
          <w:lang w:val="en-GB"/>
        </w:rPr>
        <w:t xml:space="preserve"> </w:t>
      </w:r>
    </w:p>
    <w:p w14:paraId="1EFAEE9D" w14:textId="77777777" w:rsidR="001A1328" w:rsidRPr="00C20FA9" w:rsidRDefault="001A1328">
      <w:pPr>
        <w:pStyle w:val="ListParagraph"/>
        <w:numPr>
          <w:ilvl w:val="1"/>
          <w:numId w:val="3"/>
        </w:numPr>
        <w:tabs>
          <w:tab w:val="left" w:pos="567"/>
        </w:tabs>
        <w:spacing w:before="60" w:after="60"/>
        <w:ind w:left="0" w:firstLine="0"/>
        <w:jc w:val="both"/>
        <w:rPr>
          <w:rFonts w:cs="Arial"/>
          <w:b/>
          <w:sz w:val="20"/>
          <w:szCs w:val="24"/>
          <w:lang w:val="en-GB"/>
        </w:rPr>
      </w:pPr>
      <w:r w:rsidRPr="00C20FA9">
        <w:rPr>
          <w:rFonts w:cs="Arial"/>
          <w:sz w:val="20"/>
          <w:szCs w:val="24"/>
          <w:lang w:val="en-GB"/>
        </w:rPr>
        <w:lastRenderedPageBreak/>
        <w:t>Services must be provided no later than thirty (30) business days from the date the Order is issued to the Service Provider. The specific timeline for the provision of Services and/or delivery of Goods will be indicated in the Order.</w:t>
      </w:r>
    </w:p>
    <w:p w14:paraId="1EFAEE9E"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Services will be provided, and Goods delivered, only according to separate Orders issued by the Customer during the term of the Agreement.</w:t>
      </w:r>
    </w:p>
    <w:p w14:paraId="1EFAEE9F"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The Service Provider shall provide Services and deliver Goods to the address specified in Section 4 of the Technical Specification during the Customer’s working hours (Mon–Thu 7:30–16:30, Fri 7:30–15:15).</w:t>
      </w:r>
    </w:p>
    <w:p w14:paraId="1EFAEEA0"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Services shall be provided, and Goods delivered, in accordance with the procedures established in this Technical Specification.</w:t>
      </w:r>
    </w:p>
    <w:p w14:paraId="1EFAEEA1" w14:textId="77777777" w:rsidR="001A1328" w:rsidRPr="00E62CA9" w:rsidRDefault="001A1328">
      <w:pPr>
        <w:spacing w:before="60" w:after="60"/>
        <w:ind w:firstLine="0"/>
        <w:jc w:val="both"/>
        <w:rPr>
          <w:rFonts w:cs="Arial"/>
          <w:b/>
          <w:sz w:val="20"/>
          <w:szCs w:val="20"/>
          <w:lang w:val="en-GB"/>
        </w:rPr>
      </w:pPr>
    </w:p>
    <w:p w14:paraId="1EFAEEA2" w14:textId="77777777" w:rsidR="001A1328" w:rsidRPr="00C20FA9" w:rsidRDefault="001A1328">
      <w:pPr>
        <w:pStyle w:val="ListParagraph"/>
        <w:numPr>
          <w:ilvl w:val="0"/>
          <w:numId w:val="4"/>
        </w:numPr>
        <w:pBdr>
          <w:top w:val="single" w:sz="4" w:space="1" w:color="auto"/>
          <w:bottom w:val="single" w:sz="4" w:space="1" w:color="auto"/>
        </w:pBdr>
        <w:shd w:val="clear" w:color="auto" w:fill="D9D9D9"/>
        <w:tabs>
          <w:tab w:val="left" w:pos="360"/>
        </w:tabs>
        <w:spacing w:before="60" w:after="60"/>
        <w:ind w:left="0" w:firstLine="0"/>
        <w:jc w:val="both"/>
        <w:rPr>
          <w:rFonts w:cs="Arial"/>
          <w:b/>
          <w:sz w:val="20"/>
          <w:szCs w:val="24"/>
          <w:lang w:val="en-GB"/>
        </w:rPr>
      </w:pPr>
      <w:r w:rsidRPr="00C20FA9">
        <w:rPr>
          <w:rStyle w:val="Laukeliai"/>
          <w:rFonts w:cs="Arial"/>
          <w:b/>
          <w:szCs w:val="24"/>
          <w:lang w:val="en-GB"/>
        </w:rPr>
        <w:t>QUALITY AND REMEDY OF AND DEFECTS</w:t>
      </w:r>
    </w:p>
    <w:p w14:paraId="1EFAEEA3" w14:textId="77777777" w:rsidR="001A1328" w:rsidRPr="00C20FA9" w:rsidRDefault="001A1328">
      <w:pPr>
        <w:pStyle w:val="ListParagraph"/>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Deficiencies in Services/Goods or the results of Services/Goods shall be considered any non-compliance with the Technical Specification requirements and applicable legislation regulating the quality of Services and/or Goods.</w:t>
      </w:r>
    </w:p>
    <w:p w14:paraId="1EFAEEA4" w14:textId="77777777" w:rsidR="001A1328" w:rsidRPr="00C20FA9" w:rsidRDefault="001A1328">
      <w:pPr>
        <w:pStyle w:val="ListParagraph"/>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 xml:space="preserve">The Customer shall have the right to request the Service Provider to remedy deficiencies in Services/Goods or in the results of Services/Goods no later than ten (10) business days from the date the deficiencies are recorded. </w:t>
      </w:r>
    </w:p>
    <w:p w14:paraId="1EFAEEA5"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A ten (10) day period is established for remedying deficiencies identified by the Customer.</w:t>
      </w:r>
    </w:p>
    <w:p w14:paraId="1EFAEEA6"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 xml:space="preserve">The Goods must have a warranty period applied by the Service Provider or Goods manufacturer (the longer applicable period), </w:t>
      </w:r>
      <w:proofErr w:type="gramStart"/>
      <w:r w:rsidRPr="00C20FA9">
        <w:rPr>
          <w:rFonts w:cs="Arial"/>
          <w:sz w:val="20"/>
          <w:szCs w:val="24"/>
          <w:lang w:val="en-GB"/>
        </w:rPr>
        <w:t xml:space="preserve">but in any case </w:t>
      </w:r>
      <w:proofErr w:type="gramEnd"/>
      <w:r w:rsidRPr="00C20FA9">
        <w:rPr>
          <w:rFonts w:cs="Arial"/>
          <w:sz w:val="20"/>
          <w:szCs w:val="24"/>
          <w:lang w:val="en-GB"/>
        </w:rPr>
        <w:t xml:space="preserve">not less than twenty-four (24) months, counted from the date of signing the delivery-acceptance certificate of the Goods. </w:t>
      </w:r>
    </w:p>
    <w:p w14:paraId="1EFAEEA7"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The Goods must bear the CE mark.</w:t>
      </w:r>
    </w:p>
    <w:p w14:paraId="1EFAEEA8" w14:textId="77777777" w:rsidR="001A1328" w:rsidRPr="00C20FA9" w:rsidRDefault="001A1328">
      <w:pPr>
        <w:pStyle w:val="ListParagraph"/>
        <w:numPr>
          <w:ilvl w:val="0"/>
          <w:numId w:val="5"/>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 xml:space="preserve">PAYMENT TERMS </w:t>
      </w:r>
    </w:p>
    <w:p w14:paraId="1EFAEEA9" w14:textId="77777777" w:rsidR="001A1328" w:rsidRPr="00C20FA9" w:rsidRDefault="001A1328">
      <w:pPr>
        <w:pStyle w:val="ListParagraph"/>
        <w:numPr>
          <w:ilvl w:val="1"/>
          <w:numId w:val="5"/>
        </w:numPr>
        <w:tabs>
          <w:tab w:val="left" w:pos="0"/>
          <w:tab w:val="left" w:pos="426"/>
        </w:tabs>
        <w:spacing w:before="60" w:after="60"/>
        <w:ind w:left="0" w:firstLine="0"/>
        <w:jc w:val="both"/>
        <w:rPr>
          <w:rFonts w:cs="Arial"/>
          <w:sz w:val="20"/>
          <w:szCs w:val="24"/>
          <w:lang w:val="en-GB"/>
        </w:rPr>
      </w:pPr>
      <w:bookmarkStart w:id="3" w:name="_Hlk34737709"/>
      <w:bookmarkStart w:id="4" w:name="_Hlk34735528"/>
      <w:bookmarkStart w:id="5" w:name="_Hlk101435639"/>
      <w:r w:rsidRPr="00C20FA9">
        <w:rPr>
          <w:rFonts w:cs="Arial"/>
          <w:sz w:val="20"/>
          <w:szCs w:val="24"/>
          <w:lang w:val="en-GB"/>
        </w:rPr>
        <w:t>The Customer shall pay the Service Provider for the actual Services performed and/or Goods delivered, as specified in the Order, within thirty (30) days from the date of signing the Service result/acceptance certificate and receiving the invoice.</w:t>
      </w:r>
      <w:bookmarkEnd w:id="3"/>
      <w:bookmarkEnd w:id="4"/>
    </w:p>
    <w:bookmarkEnd w:id="5"/>
    <w:p w14:paraId="1EFAEEAA" w14:textId="77777777" w:rsidR="001A1328" w:rsidRPr="00C20FA9" w:rsidRDefault="001A1328">
      <w:pPr>
        <w:pStyle w:val="ListParagraph"/>
        <w:numPr>
          <w:ilvl w:val="0"/>
          <w:numId w:val="7"/>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THE DOCUMENTS TO BE PROVIDED WITH THE SERVICES</w:t>
      </w:r>
    </w:p>
    <w:p w14:paraId="1EFAEEAB"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Turbine and generator inspection or repair protocols/reports (if required</w:t>
      </w:r>
      <w:proofErr w:type="gramStart"/>
      <w:r w:rsidRPr="00C20FA9">
        <w:rPr>
          <w:rStyle w:val="Laukeliai"/>
          <w:rFonts w:cs="Arial"/>
          <w:szCs w:val="24"/>
          <w:lang w:val="en-GB"/>
        </w:rPr>
        <w:t>);</w:t>
      </w:r>
      <w:proofErr w:type="gramEnd"/>
    </w:p>
    <w:p w14:paraId="1EFAEEAC"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Documentation for spare parts, if parts are purchased for inventory.</w:t>
      </w:r>
    </w:p>
    <w:p w14:paraId="1EFAEEAD"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Documents must be provided in English or Lithuanian.</w:t>
      </w:r>
    </w:p>
    <w:p w14:paraId="1EFAEEAE"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Technical documentation for Goods.</w:t>
      </w:r>
    </w:p>
    <w:p w14:paraId="1EFAEEAF" w14:textId="77777777" w:rsidR="001A1328" w:rsidRPr="00E62CA9" w:rsidRDefault="001A1328">
      <w:pPr>
        <w:pStyle w:val="ListParagraph"/>
        <w:shd w:val="clear" w:color="auto" w:fill="FFFFFF"/>
        <w:spacing w:before="60" w:after="60"/>
        <w:ind w:left="644" w:firstLine="0"/>
        <w:jc w:val="both"/>
        <w:rPr>
          <w:rFonts w:cs="Arial"/>
          <w:sz w:val="20"/>
          <w:szCs w:val="20"/>
          <w:shd w:val="clear" w:color="auto" w:fill="D9D9D9"/>
          <w:lang w:val="en-GB"/>
        </w:rPr>
      </w:pPr>
    </w:p>
    <w:p w14:paraId="1EFAEEB0" w14:textId="77777777" w:rsidR="001A1328" w:rsidRPr="00C20FA9" w:rsidRDefault="001A1328">
      <w:pPr>
        <w:pStyle w:val="ListParagraph"/>
        <w:numPr>
          <w:ilvl w:val="0"/>
          <w:numId w:val="7"/>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ANNEXES</w:t>
      </w:r>
    </w:p>
    <w:p w14:paraId="1EFAEEB1"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 – Priedas_Nr_1_techniniai_reikalavimai_A_B_L1_L2_L3</w:t>
      </w:r>
    </w:p>
    <w:p w14:paraId="1EFAEEB2"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2 – Priedas_Nr_2_techniai_reikalavimai_C</w:t>
      </w:r>
    </w:p>
    <w:p w14:paraId="1EFAEEB3"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3 – Priedas_Nr_3_atsarginės_dalys_turbina_B</w:t>
      </w:r>
    </w:p>
    <w:p w14:paraId="1EFAEEB4"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4 – Priedas_Nr_4_atsarginės_dalys_turbina_C</w:t>
      </w:r>
    </w:p>
    <w:p w14:paraId="1EFAEEB5"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5 – Priedas_Nr_5_atsarginės_dalys_generatorius_L3</w:t>
      </w:r>
    </w:p>
    <w:p w14:paraId="1EFAEEB6"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6 – Priedas_Nr_6_specialus_irankiai_generatorius</w:t>
      </w:r>
    </w:p>
    <w:p w14:paraId="1EFAEEB7"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7 – Priedas_Nr_7_specialus_irankiai_turbina</w:t>
      </w:r>
    </w:p>
    <w:p w14:paraId="1EFAEEB8"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 xml:space="preserve">Annex 8 – Priedas_Nr_8_Rangovų </w:t>
      </w:r>
      <w:proofErr w:type="spellStart"/>
      <w:r w:rsidRPr="00C20FA9">
        <w:rPr>
          <w:rFonts w:cs="Arial"/>
          <w:sz w:val="20"/>
          <w:szCs w:val="24"/>
          <w:lang w:val="en-GB"/>
        </w:rPr>
        <w:t>darbų</w:t>
      </w:r>
      <w:proofErr w:type="spellEnd"/>
      <w:r w:rsidRPr="00C20FA9">
        <w:rPr>
          <w:rFonts w:cs="Arial"/>
          <w:sz w:val="20"/>
          <w:szCs w:val="24"/>
          <w:lang w:val="en-GB"/>
        </w:rPr>
        <w:t xml:space="preserve"> </w:t>
      </w:r>
      <w:proofErr w:type="spellStart"/>
      <w:r w:rsidRPr="00C20FA9">
        <w:rPr>
          <w:rFonts w:cs="Arial"/>
          <w:sz w:val="20"/>
          <w:szCs w:val="24"/>
          <w:lang w:val="en-GB"/>
        </w:rPr>
        <w:t>organizavimo</w:t>
      </w:r>
      <w:proofErr w:type="spellEnd"/>
      <w:r w:rsidRPr="00C20FA9">
        <w:rPr>
          <w:rFonts w:cs="Arial"/>
          <w:sz w:val="20"/>
          <w:szCs w:val="24"/>
          <w:lang w:val="en-GB"/>
        </w:rPr>
        <w:t xml:space="preserve"> standartas_2024_KKJ</w:t>
      </w:r>
    </w:p>
    <w:p w14:paraId="1EFAEEB9"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9 – Priedas_Nr_9_EN</w:t>
      </w:r>
    </w:p>
    <w:p w14:paraId="1EFAEEBA"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10 – Priedas_Nr_10_LT</w:t>
      </w:r>
    </w:p>
    <w:p w14:paraId="1EFAEEBB"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11 – Priedas_Nr_11_LT</w:t>
      </w:r>
    </w:p>
    <w:p w14:paraId="1EFAEEBC" w14:textId="77777777" w:rsidR="001A1328" w:rsidRPr="00C20FA9" w:rsidRDefault="001A1328">
      <w:pPr>
        <w:pStyle w:val="ListParagraph"/>
        <w:tabs>
          <w:tab w:val="left" w:pos="567"/>
        </w:tabs>
        <w:spacing w:before="60" w:after="60"/>
        <w:ind w:left="360" w:firstLine="0"/>
        <w:jc w:val="both"/>
        <w:rPr>
          <w:rFonts w:cs="Arial"/>
          <w:b/>
          <w:sz w:val="20"/>
          <w:szCs w:val="24"/>
          <w:lang w:val="en-GB"/>
        </w:rPr>
      </w:pPr>
    </w:p>
    <w:p w14:paraId="1EFAEEBD" w14:textId="77777777" w:rsidR="001A1328" w:rsidRPr="00E62CA9" w:rsidRDefault="001A1328">
      <w:pPr>
        <w:ind w:firstLine="0"/>
        <w:jc w:val="both"/>
        <w:rPr>
          <w:rFonts w:cs="Arial"/>
          <w:b/>
          <w:color w:val="FF0000"/>
          <w:sz w:val="20"/>
          <w:szCs w:val="20"/>
          <w:lang w:val="en-GB"/>
        </w:rPr>
      </w:pPr>
      <w:r w:rsidRPr="00E62CA9">
        <w:rPr>
          <w:rFonts w:cs="Arial"/>
          <w:color w:val="FF0000"/>
          <w:sz w:val="20"/>
          <w:szCs w:val="20"/>
          <w:lang w:val="en-GB"/>
        </w:rPr>
        <w:t>Candidates may access Technical Specification Appendices 1–2 and 9–11 upon submission of a signed Confidentiality Undertaking (see</w:t>
      </w:r>
      <w:r w:rsidR="00C20FA9" w:rsidRPr="00E62CA9">
        <w:rPr>
          <w:rFonts w:cs="Arial"/>
          <w:color w:val="FF0000"/>
          <w:sz w:val="20"/>
          <w:szCs w:val="20"/>
          <w:lang w:val="en-GB"/>
        </w:rPr>
        <w:t xml:space="preserve"> </w:t>
      </w:r>
      <w:r w:rsidRPr="00E62CA9">
        <w:rPr>
          <w:rFonts w:cs="Arial"/>
          <w:b/>
          <w:color w:val="FF0000"/>
          <w:sz w:val="20"/>
          <w:szCs w:val="20"/>
          <w:lang w:val="en-GB"/>
        </w:rPr>
        <w:t>Application Form, Annex 3).</w:t>
      </w:r>
    </w:p>
    <w:p w14:paraId="1EFAEEBE" w14:textId="77777777" w:rsidR="001A1328" w:rsidRPr="00C20FA9" w:rsidRDefault="001A1328">
      <w:pPr>
        <w:tabs>
          <w:tab w:val="left" w:pos="567"/>
        </w:tabs>
        <w:spacing w:before="60" w:after="60"/>
        <w:ind w:firstLine="0"/>
        <w:jc w:val="both"/>
        <w:rPr>
          <w:rFonts w:cs="Arial"/>
          <w:b/>
          <w:sz w:val="20"/>
          <w:szCs w:val="24"/>
          <w:lang w:val="en-GB"/>
        </w:rPr>
      </w:pPr>
    </w:p>
    <w:bookmarkEnd w:id="0"/>
    <w:bookmarkEnd w:id="1"/>
    <w:p w14:paraId="1EFAEEBF" w14:textId="77777777" w:rsidR="001A1328" w:rsidRPr="00E62CA9" w:rsidRDefault="001A1328">
      <w:pPr>
        <w:rPr>
          <w:rFonts w:cs="Arial"/>
          <w:sz w:val="20"/>
          <w:szCs w:val="20"/>
          <w:lang w:val="en-GB"/>
        </w:rPr>
      </w:pPr>
    </w:p>
    <w:sectPr w:rsidR="001A1328" w:rsidRPr="00E62CA9">
      <w:headerReference w:type="even" r:id="rId7"/>
      <w:headerReference w:type="default" r:id="rId8"/>
      <w:headerReference w:type="firs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25D17" w14:textId="77777777" w:rsidR="009A73A9" w:rsidRPr="001A1328" w:rsidRDefault="009A73A9">
      <w:pPr>
        <w:rPr>
          <w:szCs w:val="24"/>
        </w:rPr>
      </w:pPr>
      <w:r w:rsidRPr="001A1328">
        <w:rPr>
          <w:szCs w:val="24"/>
        </w:rPr>
        <w:separator/>
      </w:r>
    </w:p>
  </w:endnote>
  <w:endnote w:type="continuationSeparator" w:id="0">
    <w:p w14:paraId="4C558F5B" w14:textId="77777777" w:rsidR="009A73A9" w:rsidRPr="001A1328" w:rsidRDefault="009A73A9">
      <w:pPr>
        <w:rPr>
          <w:szCs w:val="24"/>
        </w:rPr>
      </w:pPr>
      <w:r w:rsidRPr="001A1328">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8D3D" w14:textId="77777777" w:rsidR="009A73A9" w:rsidRPr="001A1328" w:rsidRDefault="009A73A9">
      <w:pPr>
        <w:rPr>
          <w:szCs w:val="24"/>
        </w:rPr>
      </w:pPr>
      <w:r w:rsidRPr="001A1328">
        <w:rPr>
          <w:szCs w:val="24"/>
        </w:rPr>
        <w:separator/>
      </w:r>
    </w:p>
  </w:footnote>
  <w:footnote w:type="continuationSeparator" w:id="0">
    <w:p w14:paraId="331940A9" w14:textId="77777777" w:rsidR="009A73A9" w:rsidRPr="001A1328" w:rsidRDefault="009A73A9">
      <w:pPr>
        <w:rPr>
          <w:szCs w:val="24"/>
        </w:rPr>
      </w:pPr>
      <w:r w:rsidRPr="001A1328">
        <w:rPr>
          <w:szCs w:val="24"/>
        </w:rPr>
        <w:continuationSeparator/>
      </w:r>
    </w:p>
  </w:footnote>
  <w:footnote w:id="1">
    <w:p w14:paraId="1EFAEEC7"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The specified quantity of Services is preliminary. During the term of the Contract, the Customer has the right to adjust the quantity of Services purchased, without exceeding the maximum Contract price stated in the Contract. The Customer is not obliged to purchase the full quantity of Services or any part thereof.</w:t>
      </w:r>
    </w:p>
  </w:footnote>
  <w:footnote w:id="2">
    <w:p w14:paraId="1EFAEEC8" w14:textId="77777777" w:rsidR="001A1328" w:rsidRPr="00C20FA9" w:rsidRDefault="001A1328">
      <w:pPr>
        <w:pStyle w:val="FootnoteText"/>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Ensures any of the following skills:</w:t>
      </w:r>
      <w:r w:rsidRPr="00C20FA9">
        <w:rPr>
          <w:rStyle w:val="Laukeliai"/>
          <w:rFonts w:cs="Arial"/>
          <w:sz w:val="16"/>
          <w:szCs w:val="16"/>
          <w:lang w:val="en-GB"/>
        </w:rPr>
        <w:t xml:space="preserve"> specialised design, installation and commissioning works, special adjustments, troubleshooting of control and measuring instruments, site management, or services and support from experts in other fields.</w:t>
      </w:r>
    </w:p>
  </w:footnote>
  <w:footnote w:id="3">
    <w:p w14:paraId="1EFAEEC9" w14:textId="77777777" w:rsidR="001A1328" w:rsidRPr="00C20FA9" w:rsidRDefault="001A1328">
      <w:pPr>
        <w:pStyle w:val="FootnoteText"/>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Provides mechanical consulting services, technical support, and maintenance for machinery and auxiliary equipment.</w:t>
      </w:r>
    </w:p>
  </w:footnote>
  <w:footnote w:id="4">
    <w:p w14:paraId="1EFAEECA"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Under the supervision of the servicing representative, applying specialized product training and experience, performs adjustments on rotating equipment.</w:t>
      </w:r>
    </w:p>
  </w:footnote>
  <w:footnote w:id="5">
    <w:p w14:paraId="1EFAEECB"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Provides environmental, health, and safety monitoring and control.</w:t>
      </w:r>
    </w:p>
  </w:footnote>
  <w:footnote w:id="6">
    <w:p w14:paraId="1EFAEECC"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If accommodation is not provided, a one-time accommodation fee per person may be applied for all travel and working days, including on-call and rest days.</w:t>
      </w:r>
    </w:p>
  </w:footnote>
  <w:footnote w:id="7">
    <w:p w14:paraId="1EFAEECD" w14:textId="77777777" w:rsidR="001A1328" w:rsidRPr="00C20FA9" w:rsidRDefault="001A1328">
      <w:pPr>
        <w:pStyle w:val="FootnoteText"/>
        <w:jc w:val="both"/>
        <w:rPr>
          <w:rFonts w:cs="Arial"/>
          <w:szCs w:val="24"/>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Meals and other incidental expenses may be calculated as a one-time daily allowance per person for all travel and working days, including on-call and rest days.</w:t>
      </w:r>
    </w:p>
  </w:footnote>
  <w:footnote w:id="8">
    <w:p w14:paraId="1EFAEECE" w14:textId="77777777" w:rsidR="001A1328" w:rsidRPr="00C20FA9" w:rsidRDefault="001A1328">
      <w:pPr>
        <w:pStyle w:val="FootnoteText"/>
        <w:jc w:val="both"/>
        <w:rPr>
          <w:rFonts w:cs="Arial"/>
          <w:szCs w:val="24"/>
          <w:lang w:val="en-GB"/>
        </w:rPr>
      </w:pPr>
      <w:r w:rsidRPr="00C20FA9">
        <w:rPr>
          <w:rStyle w:val="FootnoteReference"/>
          <w:rFonts w:cs="Arial"/>
          <w:sz w:val="16"/>
          <w:szCs w:val="24"/>
          <w:lang w:val="en-GB"/>
        </w:rPr>
        <w:footnoteRef/>
      </w:r>
      <w:r w:rsidRPr="00C20FA9">
        <w:rPr>
          <w:rFonts w:cs="Arial"/>
          <w:sz w:val="16"/>
          <w:szCs w:val="24"/>
          <w:lang w:val="en-GB"/>
        </w:rPr>
        <w:t xml:space="preserve"> </w:t>
      </w:r>
      <w:r w:rsidRPr="00C20FA9">
        <w:rPr>
          <w:rStyle w:val="Laukeliai"/>
          <w:rFonts w:cs="Arial"/>
          <w:sz w:val="16"/>
          <w:szCs w:val="24"/>
          <w:lang w:val="en-GB"/>
        </w:rPr>
        <w:t>If applicable, a one-time daily transport fee per vehicle may be applied for standard car rentals, company and special transport vehicles (trucks, vans, SUVs) for each day of use, including insurance and fuel costs.</w:t>
      </w:r>
    </w:p>
  </w:footnote>
  <w:footnote w:id="9">
    <w:p w14:paraId="1EFAEECF" w14:textId="77777777" w:rsidR="001A1328" w:rsidRPr="00C20FA9" w:rsidRDefault="001A1328">
      <w:pPr>
        <w:pStyle w:val="FootnoteText"/>
        <w:jc w:val="both"/>
        <w:rPr>
          <w:rFonts w:cs="Arial"/>
          <w:szCs w:val="24"/>
          <w:lang w:val="en-GB"/>
        </w:rPr>
      </w:pPr>
      <w:r w:rsidRPr="00C20FA9">
        <w:rPr>
          <w:rStyle w:val="FootnoteReference"/>
          <w:rFonts w:cs="Arial"/>
          <w:sz w:val="16"/>
          <w:szCs w:val="24"/>
          <w:lang w:val="en-GB"/>
        </w:rPr>
        <w:footnoteRef/>
      </w:r>
      <w:r w:rsidRPr="00C20FA9">
        <w:rPr>
          <w:rFonts w:cs="Arial"/>
          <w:sz w:val="16"/>
          <w:szCs w:val="24"/>
          <w:lang w:val="en-GB"/>
        </w:rPr>
        <w:t xml:space="preserve"> </w:t>
      </w:r>
      <w:r w:rsidRPr="00C20FA9">
        <w:rPr>
          <w:rStyle w:val="Laukeliai"/>
          <w:rFonts w:cs="Arial"/>
          <w:sz w:val="16"/>
          <w:szCs w:val="24"/>
          <w:lang w:val="en-GB"/>
        </w:rPr>
        <w:t>A uniform mobilisation fee per mobilisation may be applied for all types of specialists to cover preparation time, travel to and from the site, visa administration, report writing, and summarisation expenses. Travel expenses include one day of accommodation during travel, two daily allowances, and daily transport for initial mobilisation/ demobilisation to/from the construction site. The one-time mobilisation/ demobilisation fee does not include personnel travel time.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4" w14:textId="77777777" w:rsidR="001A1328" w:rsidRPr="001A1328" w:rsidRDefault="001A1328">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5" w14:textId="77777777" w:rsidR="001A1328" w:rsidRPr="001A1328" w:rsidRDefault="001A1328">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6" w14:textId="77777777" w:rsidR="001A1328" w:rsidRPr="001A1328" w:rsidRDefault="001A1328">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2CB3BAE"/>
    <w:multiLevelType w:val="multilevel"/>
    <w:tmpl w:val="6B68F0D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cs="Times New Roman" w:hint="default"/>
        <w:b/>
        <w:color w:val="auto"/>
      </w:rPr>
    </w:lvl>
    <w:lvl w:ilvl="1">
      <w:start w:val="2"/>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4" w15:restartNumberingAfterBreak="0">
    <w:nsid w:val="3CCF015F"/>
    <w:multiLevelType w:val="multilevel"/>
    <w:tmpl w:val="65444BB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7526253"/>
    <w:multiLevelType w:val="multilevel"/>
    <w:tmpl w:val="705CE602"/>
    <w:lvl w:ilvl="0">
      <w:start w:val="8"/>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6" w15:restartNumberingAfterBreak="0">
    <w:nsid w:val="4A932E36"/>
    <w:multiLevelType w:val="multilevel"/>
    <w:tmpl w:val="54721FE6"/>
    <w:lvl w:ilvl="0">
      <w:start w:val="1"/>
      <w:numFmt w:val="decimal"/>
      <w:lvlText w:val="%1."/>
      <w:lvlJc w:val="left"/>
      <w:pPr>
        <w:ind w:left="720" w:hanging="360"/>
      </w:pPr>
      <w:rPr>
        <w:rFonts w:cs="Times New Roman" w:hint="default"/>
        <w:b/>
        <w:color w:val="auto"/>
      </w:rPr>
    </w:lvl>
    <w:lvl w:ilvl="1">
      <w:start w:val="1"/>
      <w:numFmt w:val="decimal"/>
      <w:lvlText w:val="%1.%2."/>
      <w:lvlJc w:val="left"/>
      <w:pPr>
        <w:ind w:left="1353" w:hanging="360"/>
      </w:pPr>
      <w:rPr>
        <w:rFonts w:cs="Times New Roman" w:hint="default"/>
        <w:b w:val="0"/>
        <w:bCs/>
        <w:i w:val="0"/>
        <w:color w:val="auto"/>
      </w:rPr>
    </w:lvl>
    <w:lvl w:ilvl="2">
      <w:start w:val="1"/>
      <w:numFmt w:val="decimal"/>
      <w:lvlText w:val="%1.%2.%3."/>
      <w:lvlJc w:val="left"/>
      <w:pPr>
        <w:ind w:left="1080" w:hanging="720"/>
      </w:pPr>
      <w:rPr>
        <w:rFonts w:cs="Times New Roman" w:hint="default"/>
        <w:i w:val="0"/>
        <w:iCs/>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b w:val="0"/>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8" w15:restartNumberingAfterBreak="0">
    <w:nsid w:val="67836188"/>
    <w:multiLevelType w:val="multilevel"/>
    <w:tmpl w:val="B59223E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010370800">
    <w:abstractNumId w:val="6"/>
  </w:num>
  <w:num w:numId="2" w16cid:durableId="655181900">
    <w:abstractNumId w:val="0"/>
  </w:num>
  <w:num w:numId="3" w16cid:durableId="1170293526">
    <w:abstractNumId w:val="7"/>
  </w:num>
  <w:num w:numId="4" w16cid:durableId="1412431940">
    <w:abstractNumId w:val="3"/>
  </w:num>
  <w:num w:numId="5" w16cid:durableId="331372688">
    <w:abstractNumId w:val="5"/>
  </w:num>
  <w:num w:numId="6" w16cid:durableId="464398061">
    <w:abstractNumId w:val="4"/>
  </w:num>
  <w:num w:numId="7" w16cid:durableId="1251089059">
    <w:abstractNumId w:val="2"/>
  </w:num>
  <w:num w:numId="8" w16cid:durableId="1647778413">
    <w:abstractNumId w:val="1"/>
  </w:num>
  <w:num w:numId="9" w16cid:durableId="92576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06E"/>
    <w:rsid w:val="0002782F"/>
    <w:rsid w:val="00043B52"/>
    <w:rsid w:val="000A093A"/>
    <w:rsid w:val="000B7106"/>
    <w:rsid w:val="00110A48"/>
    <w:rsid w:val="0014113E"/>
    <w:rsid w:val="001427DC"/>
    <w:rsid w:val="001A1328"/>
    <w:rsid w:val="0020206D"/>
    <w:rsid w:val="00286D7B"/>
    <w:rsid w:val="00293FAA"/>
    <w:rsid w:val="002A7D12"/>
    <w:rsid w:val="002C0E69"/>
    <w:rsid w:val="002F1CA0"/>
    <w:rsid w:val="00302BA8"/>
    <w:rsid w:val="003268EC"/>
    <w:rsid w:val="003320CB"/>
    <w:rsid w:val="003458B0"/>
    <w:rsid w:val="00373BE6"/>
    <w:rsid w:val="00385236"/>
    <w:rsid w:val="003936C9"/>
    <w:rsid w:val="003F0DA4"/>
    <w:rsid w:val="003F1758"/>
    <w:rsid w:val="004B02C8"/>
    <w:rsid w:val="004C1B2F"/>
    <w:rsid w:val="005117C9"/>
    <w:rsid w:val="00590E6D"/>
    <w:rsid w:val="005F4529"/>
    <w:rsid w:val="006038B8"/>
    <w:rsid w:val="00620C17"/>
    <w:rsid w:val="006449D3"/>
    <w:rsid w:val="006459D0"/>
    <w:rsid w:val="006E3EEC"/>
    <w:rsid w:val="00775C5C"/>
    <w:rsid w:val="008B4F41"/>
    <w:rsid w:val="008C12B7"/>
    <w:rsid w:val="008D6416"/>
    <w:rsid w:val="008F5D7E"/>
    <w:rsid w:val="00902455"/>
    <w:rsid w:val="00977EE9"/>
    <w:rsid w:val="009A73A9"/>
    <w:rsid w:val="009C5FAF"/>
    <w:rsid w:val="009F1E82"/>
    <w:rsid w:val="009F7605"/>
    <w:rsid w:val="00A2585A"/>
    <w:rsid w:val="00A753DF"/>
    <w:rsid w:val="00A82E82"/>
    <w:rsid w:val="00AC65B4"/>
    <w:rsid w:val="00B8406E"/>
    <w:rsid w:val="00C20FA9"/>
    <w:rsid w:val="00C6662E"/>
    <w:rsid w:val="00CC4E2C"/>
    <w:rsid w:val="00D14DE1"/>
    <w:rsid w:val="00DB4131"/>
    <w:rsid w:val="00DC7493"/>
    <w:rsid w:val="00DF4248"/>
    <w:rsid w:val="00E57B74"/>
    <w:rsid w:val="00E615AF"/>
    <w:rsid w:val="00E62CA9"/>
    <w:rsid w:val="00E93B6C"/>
    <w:rsid w:val="00F158CB"/>
    <w:rsid w:val="00F25D88"/>
    <w:rsid w:val="00F5045C"/>
    <w:rsid w:val="00F54A3B"/>
    <w:rsid w:val="00FC3D35"/>
    <w:rsid w:val="00FE3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FAEE19"/>
  <w14:defaultImageDpi w14:val="0"/>
  <w15:docId w15:val="{91748712-77E2-45DC-AAFE-EB5123C3D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Aptos"/>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357"/>
    </w:pPr>
    <w:rPr>
      <w:rFonts w:ascii="Arial" w:hAnsi="Arial" w:cs="Times New Roman"/>
      <w:sz w:val="22"/>
      <w:szCs w:val="22"/>
      <w:lang w:val="lt-LT"/>
    </w:rPr>
  </w:style>
  <w:style w:type="paragraph" w:styleId="Heading1">
    <w:name w:val="heading 1"/>
    <w:basedOn w:val="Normal"/>
    <w:next w:val="Normal"/>
    <w:link w:val="Heading1Char"/>
    <w:uiPriority w:val="9"/>
    <w:qFormat/>
    <w:pPr>
      <w:keepNext/>
      <w:keepLines/>
      <w:spacing w:before="360" w:after="80"/>
      <w:outlineLvl w:val="0"/>
    </w:pPr>
    <w:rPr>
      <w:rFonts w:ascii="Times New Roman" w:hAnsi="Times New Roman"/>
      <w:color w:val="0F4761"/>
      <w:sz w:val="40"/>
      <w:szCs w:val="40"/>
    </w:rPr>
  </w:style>
  <w:style w:type="paragraph" w:styleId="Heading2">
    <w:name w:val="heading 2"/>
    <w:basedOn w:val="Normal"/>
    <w:next w:val="Normal"/>
    <w:link w:val="Heading2Char"/>
    <w:uiPriority w:val="9"/>
    <w:semiHidden/>
    <w:qFormat/>
    <w:pPr>
      <w:keepNext/>
      <w:keepLines/>
      <w:spacing w:before="160" w:after="80"/>
      <w:outlineLvl w:val="1"/>
    </w:pPr>
    <w:rPr>
      <w:rFonts w:ascii="Times New Roman" w:hAnsi="Times New Roman"/>
      <w:color w:val="0F4761"/>
      <w:sz w:val="32"/>
      <w:szCs w:val="32"/>
    </w:rPr>
  </w:style>
  <w:style w:type="paragraph" w:styleId="Heading3">
    <w:name w:val="heading 3"/>
    <w:basedOn w:val="Normal"/>
    <w:next w:val="Normal"/>
    <w:link w:val="Heading3Char"/>
    <w:uiPriority w:val="9"/>
    <w:semiHidden/>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qFormat/>
    <w:pPr>
      <w:keepNext/>
      <w:keepLines/>
      <w:spacing w:before="80" w:after="40"/>
      <w:outlineLvl w:val="4"/>
    </w:pPr>
    <w:rPr>
      <w:color w:val="0F4761"/>
    </w:rPr>
  </w:style>
  <w:style w:type="paragraph" w:styleId="Heading6">
    <w:name w:val="heading 6"/>
    <w:basedOn w:val="Normal"/>
    <w:next w:val="Normal"/>
    <w:link w:val="Heading6Char"/>
    <w:uiPriority w:val="9"/>
    <w:semiHidden/>
    <w:qFormat/>
    <w:pPr>
      <w:keepNext/>
      <w:keepLines/>
      <w:spacing w:before="40"/>
      <w:outlineLvl w:val="5"/>
    </w:pPr>
    <w:rPr>
      <w:i/>
      <w:iCs/>
      <w:color w:val="595959"/>
    </w:rPr>
  </w:style>
  <w:style w:type="paragraph" w:styleId="Heading7">
    <w:name w:val="heading 7"/>
    <w:basedOn w:val="Normal"/>
    <w:next w:val="Normal"/>
    <w:link w:val="Heading7Char"/>
    <w:uiPriority w:val="9"/>
    <w:semiHidden/>
    <w:qFormat/>
    <w:pPr>
      <w:keepNext/>
      <w:keepLines/>
      <w:spacing w:before="40"/>
      <w:outlineLvl w:val="6"/>
    </w:pPr>
    <w:rPr>
      <w:color w:val="595959"/>
    </w:rPr>
  </w:style>
  <w:style w:type="paragraph" w:styleId="Heading8">
    <w:name w:val="heading 8"/>
    <w:basedOn w:val="Normal"/>
    <w:next w:val="Normal"/>
    <w:link w:val="Heading8Char"/>
    <w:uiPriority w:val="9"/>
    <w:semiHidden/>
    <w:qFormat/>
    <w:pPr>
      <w:keepNext/>
      <w:keepLines/>
      <w:outlineLvl w:val="7"/>
    </w:pPr>
    <w:rPr>
      <w:i/>
      <w:iCs/>
      <w:color w:val="272727"/>
    </w:rPr>
  </w:style>
  <w:style w:type="paragraph" w:styleId="Heading9">
    <w:name w:val="heading 9"/>
    <w:basedOn w:val="Normal"/>
    <w:next w:val="Normal"/>
    <w:link w:val="Heading9Char"/>
    <w:uiPriority w:val="9"/>
    <w:semiHidden/>
    <w:qFormat/>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Times New Roman" w:hAnsi="Times New Roman"/>
      <w:color w:val="0F4761"/>
      <w:sz w:val="40"/>
    </w:rPr>
  </w:style>
  <w:style w:type="character" w:customStyle="1" w:styleId="Heading2Char">
    <w:name w:val="Heading 2 Char"/>
    <w:link w:val="Heading2"/>
    <w:uiPriority w:val="9"/>
    <w:semiHidden/>
    <w:locked/>
    <w:rPr>
      <w:rFonts w:ascii="Times New Roman" w:hAnsi="Times New Roman"/>
      <w:color w:val="0F4761"/>
      <w:sz w:val="32"/>
    </w:rPr>
  </w:style>
  <w:style w:type="character" w:customStyle="1" w:styleId="Heading3Char">
    <w:name w:val="Heading 3 Char"/>
    <w:link w:val="Heading3"/>
    <w:uiPriority w:val="9"/>
    <w:semiHidden/>
    <w:locked/>
    <w:rPr>
      <w:rFonts w:eastAsia="Times New Roman"/>
      <w:color w:val="0F4761"/>
      <w:sz w:val="28"/>
    </w:rPr>
  </w:style>
  <w:style w:type="character" w:customStyle="1" w:styleId="Heading4Char">
    <w:name w:val="Heading 4 Char"/>
    <w:link w:val="Heading4"/>
    <w:uiPriority w:val="9"/>
    <w:semiHidden/>
    <w:locked/>
    <w:rPr>
      <w:rFonts w:eastAsia="Times New Roman"/>
      <w:i/>
      <w:color w:val="0F4761"/>
    </w:rPr>
  </w:style>
  <w:style w:type="character" w:customStyle="1" w:styleId="Heading5Char">
    <w:name w:val="Heading 5 Char"/>
    <w:link w:val="Heading5"/>
    <w:uiPriority w:val="9"/>
    <w:semiHidden/>
    <w:locked/>
    <w:rPr>
      <w:rFonts w:eastAsia="Times New Roman"/>
      <w:color w:val="0F4761"/>
    </w:rPr>
  </w:style>
  <w:style w:type="character" w:customStyle="1" w:styleId="Heading6Char">
    <w:name w:val="Heading 6 Char"/>
    <w:link w:val="Heading6"/>
    <w:uiPriority w:val="9"/>
    <w:semiHidden/>
    <w:locked/>
    <w:rPr>
      <w:rFonts w:eastAsia="Times New Roman"/>
      <w:i/>
      <w:color w:val="595959"/>
    </w:rPr>
  </w:style>
  <w:style w:type="character" w:customStyle="1" w:styleId="Heading7Char">
    <w:name w:val="Heading 7 Char"/>
    <w:link w:val="Heading7"/>
    <w:uiPriority w:val="9"/>
    <w:semiHidden/>
    <w:locked/>
    <w:rPr>
      <w:rFonts w:eastAsia="Times New Roman"/>
      <w:color w:val="595959"/>
    </w:rPr>
  </w:style>
  <w:style w:type="character" w:customStyle="1" w:styleId="Heading8Char">
    <w:name w:val="Heading 8 Char"/>
    <w:link w:val="Heading8"/>
    <w:uiPriority w:val="9"/>
    <w:semiHidden/>
    <w:locked/>
    <w:rPr>
      <w:rFonts w:eastAsia="Times New Roman"/>
      <w:i/>
      <w:color w:val="272727"/>
    </w:rPr>
  </w:style>
  <w:style w:type="character" w:customStyle="1" w:styleId="Heading9Char">
    <w:name w:val="Heading 9 Char"/>
    <w:link w:val="Heading9"/>
    <w:uiPriority w:val="9"/>
    <w:semiHidden/>
    <w:locked/>
    <w:rPr>
      <w:rFonts w:eastAsia="Times New Roman"/>
      <w:color w:val="272727"/>
    </w:rPr>
  </w:style>
  <w:style w:type="paragraph" w:styleId="Title">
    <w:name w:val="Title"/>
    <w:basedOn w:val="Normal"/>
    <w:next w:val="Normal"/>
    <w:link w:val="TitleChar"/>
    <w:uiPriority w:val="10"/>
    <w:qFormat/>
    <w:pPr>
      <w:spacing w:after="80"/>
      <w:contextualSpacing/>
    </w:pPr>
    <w:rPr>
      <w:rFonts w:ascii="Times New Roman" w:hAnsi="Times New Roman"/>
      <w:spacing w:val="-10"/>
      <w:kern w:val="28"/>
      <w:sz w:val="56"/>
      <w:szCs w:val="56"/>
    </w:rPr>
  </w:style>
  <w:style w:type="character" w:customStyle="1" w:styleId="TitleChar">
    <w:name w:val="Title Char"/>
    <w:link w:val="Title"/>
    <w:uiPriority w:val="10"/>
    <w:locked/>
    <w:rPr>
      <w:rFonts w:ascii="Times New Roman" w:hAnsi="Times New Roman"/>
      <w:spacing w:val="-10"/>
      <w:kern w:val="28"/>
      <w:sz w:val="56"/>
    </w:rPr>
  </w:style>
  <w:style w:type="paragraph" w:styleId="Subtitle">
    <w:name w:val="Subtitle"/>
    <w:basedOn w:val="Normal"/>
    <w:next w:val="Normal"/>
    <w:link w:val="SubtitleChar"/>
    <w:uiPriority w:val="11"/>
    <w:qFormat/>
    <w:pPr>
      <w:numPr>
        <w:ilvl w:val="1"/>
      </w:numPr>
      <w:ind w:firstLine="357"/>
    </w:pPr>
    <w:rPr>
      <w:color w:val="595959"/>
      <w:spacing w:val="15"/>
      <w:sz w:val="28"/>
      <w:szCs w:val="28"/>
    </w:rPr>
  </w:style>
  <w:style w:type="character" w:customStyle="1" w:styleId="SubtitleChar">
    <w:name w:val="Subtitle Char"/>
    <w:link w:val="Subtitle"/>
    <w:uiPriority w:val="11"/>
    <w:locked/>
    <w:rPr>
      <w:rFonts w:eastAsia="Times New Roman"/>
      <w:color w:val="595959"/>
      <w:spacing w:val="15"/>
      <w:sz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locked/>
    <w:rPr>
      <w:i/>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šo pastraipa,Bulle"/>
    <w:basedOn w:val="Normal"/>
    <w:uiPriority w:val="34"/>
    <w:qFormat/>
    <w:pPr>
      <w:ind w:left="720"/>
      <w:contextualSpacing/>
    </w:pPr>
  </w:style>
  <w:style w:type="character" w:styleId="IntenseEmphasis">
    <w:name w:val="Intense Emphasis"/>
    <w:uiPriority w:val="21"/>
    <w:qFormat/>
    <w:rPr>
      <w:i/>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locked/>
    <w:rPr>
      <w:i/>
      <w:color w:val="0F4761"/>
    </w:rPr>
  </w:style>
  <w:style w:type="character" w:styleId="IntenseReference">
    <w:name w:val="Intense Reference"/>
    <w:uiPriority w:val="32"/>
    <w:qFormat/>
    <w:rPr>
      <w:b/>
      <w:smallCaps/>
      <w:color w:val="0F4761"/>
      <w:spacing w:val="5"/>
    </w:rPr>
  </w:style>
  <w:style w:type="character" w:styleId="CommentReference">
    <w:name w:val="annotation reference"/>
    <w:aliases w:val="Heading 3 Char1"/>
    <w:uiPriority w:val="99"/>
    <w:locked/>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Arial" w:hAnsi="Arial" w:cs="Times New Roman"/>
      <w:lang w:val="lt-LT"/>
    </w:rPr>
  </w:style>
  <w:style w:type="character" w:customStyle="1" w:styleId="Heading4Char1">
    <w:name w:val="Heading 4 Char1"/>
    <w:uiPriority w:val="99"/>
    <w:locked/>
    <w:rPr>
      <w:rFonts w:ascii="Arial" w:hAnsi="Arial"/>
      <w:kern w:val="0"/>
      <w:sz w:val="20"/>
    </w:rPr>
  </w:style>
  <w:style w:type="table" w:styleId="TableGrid">
    <w:name w:val="Table Grid"/>
    <w:basedOn w:val="TableNormal"/>
    <w:uiPriority w:val="3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locked/>
  </w:style>
  <w:style w:type="character" w:customStyle="1" w:styleId="Laukeliai">
    <w:name w:val="Laukeliai"/>
    <w:uiPriority w:val="1"/>
    <w:qFormat/>
    <w:rPr>
      <w:rFonts w:ascii="Arial" w:hAnsi="Arial"/>
      <w:sz w:val="20"/>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locked/>
    <w:rPr>
      <w:rFonts w:ascii="Arial" w:hAnsi="Arial"/>
      <w:kern w:val="0"/>
      <w:sz w:val="20"/>
    </w:rPr>
  </w:style>
  <w:style w:type="character" w:styleId="FootnoteReference">
    <w:name w:val="footnote reference"/>
    <w:aliases w:val="fr"/>
    <w:uiPriority w:val="99"/>
    <w:rPr>
      <w:vertAlign w:val="superscript"/>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link w:val="Header"/>
    <w:uiPriority w:val="99"/>
    <w:locked/>
    <w:rPr>
      <w:rFonts w:ascii="Arial" w:hAnsi="Arial"/>
      <w:kern w:val="0"/>
      <w:sz w:val="22"/>
    </w:rPr>
  </w:style>
  <w:style w:type="paragraph" w:styleId="Footer">
    <w:name w:val="footer"/>
    <w:basedOn w:val="Normal"/>
    <w:link w:val="FooterChar"/>
    <w:uiPriority w:val="99"/>
    <w:semiHidden/>
    <w:pPr>
      <w:tabs>
        <w:tab w:val="center" w:pos="4819"/>
        <w:tab w:val="right" w:pos="9638"/>
      </w:tabs>
    </w:pPr>
  </w:style>
  <w:style w:type="character" w:customStyle="1" w:styleId="FooterChar">
    <w:name w:val="Footer Char"/>
    <w:link w:val="Footer"/>
    <w:uiPriority w:val="99"/>
    <w:semiHidden/>
    <w:locked/>
    <w:rPr>
      <w:rFonts w:ascii="Arial" w:hAnsi="Arial"/>
      <w:kern w:val="0"/>
      <w:sz w:val="22"/>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Arial" w:hAnsi="Arial" w:cs="Times New Roman"/>
      <w:b/>
      <w:bCs/>
      <w:lang w:val="lt-LT"/>
    </w:rPr>
  </w:style>
  <w:style w:type="character" w:customStyle="1" w:styleId="Heading5Char1">
    <w:name w:val="Heading 5 Char1"/>
    <w:uiPriority w:val="99"/>
    <w:semiHidden/>
    <w:locked/>
    <w:rPr>
      <w:rFonts w:ascii="Arial" w:hAnsi="Arial"/>
      <w:b/>
      <w:kern w:val="0"/>
      <w:sz w:val="20"/>
    </w:rPr>
  </w:style>
  <w:style w:type="paragraph" w:styleId="Revision">
    <w:name w:val="Revision"/>
    <w:hidden/>
    <w:uiPriority w:val="99"/>
    <w:semiHidden/>
    <w:rPr>
      <w:rFonts w:ascii="Arial" w:hAnsi="Arial" w:cs="Times New Roman"/>
      <w:sz w:val="22"/>
      <w:szCs w:val="22"/>
      <w:lang w:val="lt-LT"/>
    </w:rPr>
  </w:style>
  <w:style w:type="paragraph" w:styleId="BalloonText">
    <w:name w:val="Balloon Text"/>
    <w:basedOn w:val="Normal"/>
    <w:link w:val="BalloonTextChar"/>
    <w:uiPriority w:val="99"/>
    <w:semiHidden/>
    <w:rPr>
      <w:rFonts w:ascii="Times New Roman" w:hAnsi="Times New Roman"/>
      <w:sz w:val="16"/>
      <w:szCs w:val="16"/>
    </w:rPr>
  </w:style>
  <w:style w:type="character" w:customStyle="1" w:styleId="BalloonTextChar">
    <w:name w:val="Balloon Text Char"/>
    <w:link w:val="BalloonText"/>
    <w:uiPriority w:val="99"/>
    <w:semiHidden/>
    <w:rPr>
      <w:rFonts w:ascii="Tahoma" w:hAnsi="Tahoma" w:cs="Tahoma"/>
      <w:sz w:val="16"/>
      <w:szCs w:val="16"/>
      <w:lang w:val="lt-LT"/>
    </w:rPr>
  </w:style>
  <w:style w:type="character" w:customStyle="1" w:styleId="Heading1Char1">
    <w:name w:val="Heading 1 Char1"/>
    <w:uiPriority w:val="99"/>
    <w:semiHidden/>
    <w:locked/>
    <w:rPr>
      <w:rFonts w:ascii="Times New Roman" w:hAnsi="Times New Roman"/>
      <w:kern w:val="0"/>
      <w:sz w:val="16"/>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5815</Words>
  <Characters>3316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Vygantas Strolė</dc:creator>
  <cp:lastModifiedBy>Vygantas Strolė</cp:lastModifiedBy>
  <cp:revision>5</cp:revision>
  <dcterms:created xsi:type="dcterms:W3CDTF">2025-12-17T14:42:00Z</dcterms:created>
  <dcterms:modified xsi:type="dcterms:W3CDTF">2025-12-19T12:31:00Z</dcterms:modified>
</cp:coreProperties>
</file>